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8CE3" w14:textId="05AF88ED" w:rsidR="000F22A9" w:rsidRPr="004A794F" w:rsidRDefault="004A794F" w:rsidP="00C94F93">
      <w:pPr>
        <w:spacing w:after="0" w:line="360" w:lineRule="auto"/>
        <w:rPr>
          <w:rFonts w:cstheme="minorHAnsi"/>
          <w:b/>
          <w:sz w:val="20"/>
          <w:szCs w:val="20"/>
        </w:rPr>
      </w:pPr>
      <w:r w:rsidRPr="004A794F">
        <w:rPr>
          <w:rFonts w:cstheme="minorHAnsi"/>
          <w:b/>
          <w:sz w:val="20"/>
          <w:szCs w:val="20"/>
        </w:rPr>
        <w:t>FACULTY OF SOCIAL SCIENCE – CENTRE ESTABLISHMENT, RENEWAL, AND DIRECTOR APPOINTMENT &amp; REVIEW</w:t>
      </w:r>
      <w:r w:rsidR="00632778" w:rsidRPr="004A794F">
        <w:rPr>
          <w:rFonts w:cstheme="minorHAnsi"/>
          <w:b/>
          <w:bCs/>
          <w:sz w:val="20"/>
          <w:szCs w:val="20"/>
        </w:rPr>
        <w:tab/>
      </w:r>
    </w:p>
    <w:p w14:paraId="064B089D" w14:textId="75626B2E" w:rsidR="00CB47F0" w:rsidRPr="004A794F" w:rsidRDefault="00DE72A9" w:rsidP="00C94F93">
      <w:pPr>
        <w:pStyle w:val="Default"/>
        <w:numPr>
          <w:ilvl w:val="0"/>
          <w:numId w:val="10"/>
        </w:numPr>
        <w:spacing w:line="360" w:lineRule="auto"/>
        <w:ind w:left="360"/>
        <w:rPr>
          <w:rFonts w:asciiTheme="minorHAnsi" w:hAnsiTheme="minorHAnsi" w:cstheme="minorHAnsi"/>
          <w:sz w:val="20"/>
          <w:szCs w:val="20"/>
        </w:rPr>
      </w:pPr>
      <w:r w:rsidRPr="004A794F">
        <w:rPr>
          <w:rFonts w:asciiTheme="minorHAnsi" w:hAnsiTheme="minorHAnsi" w:cstheme="minorHAnsi"/>
          <w:b/>
          <w:bCs/>
          <w:sz w:val="20"/>
          <w:szCs w:val="20"/>
        </w:rPr>
        <w:t>Policy:</w:t>
      </w:r>
      <w:r w:rsidR="00CB47F0" w:rsidRPr="004A794F">
        <w:rPr>
          <w:rFonts w:asciiTheme="minorHAnsi" w:hAnsiTheme="minorHAnsi" w:cstheme="minorHAnsi"/>
          <w:b/>
          <w:bCs/>
          <w:sz w:val="20"/>
          <w:szCs w:val="20"/>
        </w:rPr>
        <w:t xml:space="preserve"> </w:t>
      </w:r>
      <w:r w:rsidR="00EE248A" w:rsidRPr="004A794F">
        <w:rPr>
          <w:rFonts w:asciiTheme="minorHAnsi" w:hAnsiTheme="minorHAnsi" w:cstheme="minorHAnsi"/>
          <w:sz w:val="20"/>
          <w:szCs w:val="20"/>
        </w:rPr>
        <w:t xml:space="preserve">The Faculty of Social Science (FSS) hosts several Research Centres. This policy outlines the processes for establishing new Centres, renewing Centre mandates, and appointing or reviewing Centre Directors. It is aligned with </w:t>
      </w:r>
      <w:hyperlink r:id="rId8" w:history="1">
        <w:r w:rsidR="00A55962" w:rsidRPr="004A794F">
          <w:rPr>
            <w:rStyle w:val="Hyperlink"/>
            <w:rFonts w:asciiTheme="minorHAnsi" w:hAnsiTheme="minorHAnsi" w:cstheme="minorHAnsi"/>
            <w:sz w:val="20"/>
            <w:szCs w:val="20"/>
          </w:rPr>
          <w:t>Western</w:t>
        </w:r>
        <w:r w:rsidR="00964DEA" w:rsidRPr="004A794F">
          <w:rPr>
            <w:rStyle w:val="Hyperlink"/>
            <w:rFonts w:asciiTheme="minorHAnsi" w:hAnsiTheme="minorHAnsi" w:cstheme="minorHAnsi"/>
            <w:sz w:val="20"/>
            <w:szCs w:val="20"/>
          </w:rPr>
          <w:t xml:space="preserve"> University</w:t>
        </w:r>
        <w:r w:rsidR="00A55962" w:rsidRPr="004A794F">
          <w:rPr>
            <w:rStyle w:val="Hyperlink"/>
            <w:rFonts w:asciiTheme="minorHAnsi" w:hAnsiTheme="minorHAnsi" w:cstheme="minorHAnsi"/>
            <w:sz w:val="20"/>
            <w:szCs w:val="20"/>
          </w:rPr>
          <w:t xml:space="preserve"> Policy 7.9 – Establishment, Governance and Review of Research Institutes, Centres and Groups</w:t>
        </w:r>
      </w:hyperlink>
      <w:r w:rsidR="0011048E" w:rsidRPr="004A794F">
        <w:rPr>
          <w:rFonts w:asciiTheme="minorHAnsi" w:hAnsiTheme="minorHAnsi" w:cstheme="minorHAnsi"/>
          <w:sz w:val="20"/>
          <w:szCs w:val="20"/>
        </w:rPr>
        <w:t xml:space="preserve">. </w:t>
      </w:r>
    </w:p>
    <w:p w14:paraId="0013F712" w14:textId="206AEEDD" w:rsidR="00CC3D85" w:rsidRPr="004A794F" w:rsidRDefault="00DE72A9" w:rsidP="00C94F93">
      <w:pPr>
        <w:pStyle w:val="Default"/>
        <w:numPr>
          <w:ilvl w:val="0"/>
          <w:numId w:val="10"/>
        </w:numPr>
        <w:spacing w:line="360" w:lineRule="auto"/>
        <w:ind w:left="360"/>
        <w:rPr>
          <w:rFonts w:asciiTheme="minorHAnsi" w:hAnsiTheme="minorHAnsi" w:cstheme="minorHAnsi"/>
          <w:color w:val="auto"/>
          <w:sz w:val="20"/>
          <w:szCs w:val="20"/>
        </w:rPr>
      </w:pPr>
      <w:r w:rsidRPr="004A794F">
        <w:rPr>
          <w:rFonts w:asciiTheme="minorHAnsi" w:hAnsiTheme="minorHAnsi" w:cstheme="minorHAnsi"/>
          <w:b/>
          <w:bCs/>
          <w:sz w:val="20"/>
          <w:szCs w:val="20"/>
        </w:rPr>
        <w:t>Purpose:</w:t>
      </w:r>
      <w:r w:rsidR="00CB47F0" w:rsidRPr="004A794F">
        <w:rPr>
          <w:rFonts w:asciiTheme="minorHAnsi" w:hAnsiTheme="minorHAnsi" w:cstheme="minorHAnsi"/>
          <w:b/>
          <w:bCs/>
          <w:sz w:val="20"/>
          <w:szCs w:val="20"/>
        </w:rPr>
        <w:t xml:space="preserve"> </w:t>
      </w:r>
      <w:r w:rsidR="00CC3D85" w:rsidRPr="004A794F">
        <w:rPr>
          <w:rFonts w:asciiTheme="minorHAnsi" w:hAnsiTheme="minorHAnsi" w:cstheme="minorHAnsi"/>
          <w:color w:val="auto"/>
          <w:sz w:val="20"/>
          <w:szCs w:val="20"/>
        </w:rPr>
        <w:t>To ensure a consistent and transparent process for establishing, renewing, and overseeing Research Centres and their Directors within the Faculty of Social Science.</w:t>
      </w:r>
    </w:p>
    <w:p w14:paraId="673A97D5" w14:textId="4FB9B700" w:rsidR="00F215B5" w:rsidRPr="004A794F" w:rsidRDefault="00DE72A9" w:rsidP="00C94F93">
      <w:pPr>
        <w:pStyle w:val="Default"/>
        <w:numPr>
          <w:ilvl w:val="0"/>
          <w:numId w:val="10"/>
        </w:numPr>
        <w:spacing w:line="360" w:lineRule="auto"/>
        <w:ind w:left="360"/>
        <w:rPr>
          <w:rFonts w:asciiTheme="minorHAnsi" w:hAnsiTheme="minorHAnsi" w:cstheme="minorHAnsi"/>
          <w:color w:val="auto"/>
          <w:sz w:val="20"/>
          <w:szCs w:val="20"/>
        </w:rPr>
      </w:pPr>
      <w:r w:rsidRPr="004A794F">
        <w:rPr>
          <w:rFonts w:asciiTheme="minorHAnsi" w:hAnsiTheme="minorHAnsi" w:cstheme="minorHAnsi"/>
          <w:b/>
          <w:bCs/>
          <w:sz w:val="20"/>
          <w:szCs w:val="20"/>
        </w:rPr>
        <w:t>Scope:</w:t>
      </w:r>
      <w:r w:rsidR="00CB47F0" w:rsidRPr="004A794F">
        <w:rPr>
          <w:rFonts w:asciiTheme="minorHAnsi" w:hAnsiTheme="minorHAnsi" w:cstheme="minorHAnsi"/>
          <w:b/>
          <w:bCs/>
          <w:sz w:val="20"/>
          <w:szCs w:val="20"/>
        </w:rPr>
        <w:t xml:space="preserve"> </w:t>
      </w:r>
      <w:r w:rsidR="00CC3D85" w:rsidRPr="004A794F">
        <w:rPr>
          <w:rFonts w:asciiTheme="minorHAnsi" w:hAnsiTheme="minorHAnsi" w:cstheme="minorHAnsi"/>
          <w:color w:val="auto"/>
          <w:sz w:val="20"/>
          <w:szCs w:val="20"/>
        </w:rPr>
        <w:t>This policy applies to all Research Centres affiliated with the Faculty of Social Science and registered with the Office of the Vice-President (Research).</w:t>
      </w:r>
    </w:p>
    <w:p w14:paraId="3579486F" w14:textId="348C3001" w:rsidR="004B109D" w:rsidRPr="004A794F" w:rsidRDefault="006D4087" w:rsidP="00C94F93">
      <w:pPr>
        <w:pStyle w:val="Default"/>
        <w:numPr>
          <w:ilvl w:val="0"/>
          <w:numId w:val="10"/>
        </w:numPr>
        <w:spacing w:line="360" w:lineRule="auto"/>
        <w:ind w:left="360"/>
        <w:rPr>
          <w:rFonts w:asciiTheme="minorHAnsi" w:hAnsiTheme="minorHAnsi" w:cstheme="minorHAnsi"/>
          <w:b/>
          <w:bCs/>
          <w:sz w:val="20"/>
          <w:szCs w:val="20"/>
        </w:rPr>
      </w:pPr>
      <w:r w:rsidRPr="004A794F">
        <w:rPr>
          <w:rFonts w:asciiTheme="minorHAnsi" w:hAnsiTheme="minorHAnsi" w:cstheme="minorHAnsi"/>
          <w:b/>
          <w:bCs/>
          <w:sz w:val="20"/>
          <w:szCs w:val="20"/>
        </w:rPr>
        <w:t>POLICY</w:t>
      </w:r>
    </w:p>
    <w:p w14:paraId="08DC92B5" w14:textId="3F60E089" w:rsidR="00A536C9" w:rsidRPr="004A794F" w:rsidRDefault="00FD17A9" w:rsidP="00C94F93">
      <w:pPr>
        <w:pStyle w:val="Default"/>
        <w:spacing w:line="360" w:lineRule="auto"/>
        <w:rPr>
          <w:rFonts w:asciiTheme="minorHAnsi" w:hAnsiTheme="minorHAnsi" w:cstheme="minorHAnsi"/>
          <w:b/>
          <w:bCs/>
          <w:sz w:val="20"/>
          <w:szCs w:val="20"/>
        </w:rPr>
      </w:pPr>
      <w:r w:rsidRPr="004A794F">
        <w:rPr>
          <w:rFonts w:asciiTheme="minorHAnsi" w:hAnsiTheme="minorHAnsi" w:cstheme="minorHAnsi"/>
          <w:b/>
          <w:bCs/>
          <w:sz w:val="20"/>
          <w:szCs w:val="20"/>
        </w:rPr>
        <w:t xml:space="preserve">4.1 </w:t>
      </w:r>
      <w:r w:rsidR="00F90494" w:rsidRPr="004A794F">
        <w:rPr>
          <w:rFonts w:asciiTheme="minorHAnsi" w:hAnsiTheme="minorHAnsi" w:cstheme="minorHAnsi"/>
          <w:b/>
          <w:bCs/>
          <w:sz w:val="20"/>
          <w:szCs w:val="20"/>
        </w:rPr>
        <w:t>ESTABLISHMENT OF A NEW CENTRE</w:t>
      </w:r>
    </w:p>
    <w:p w14:paraId="6BFA6A12" w14:textId="4D556C1A" w:rsidR="00CC3D85" w:rsidRPr="004A794F" w:rsidRDefault="00CC3D85" w:rsidP="00C94F93">
      <w:pPr>
        <w:pStyle w:val="ListParagraph"/>
        <w:numPr>
          <w:ilvl w:val="0"/>
          <w:numId w:val="6"/>
        </w:numPr>
        <w:spacing w:after="0" w:line="360" w:lineRule="auto"/>
        <w:rPr>
          <w:rFonts w:cstheme="minorHAnsi"/>
          <w:sz w:val="20"/>
          <w:szCs w:val="20"/>
        </w:rPr>
      </w:pPr>
      <w:r w:rsidRPr="004A794F">
        <w:rPr>
          <w:rFonts w:cstheme="minorHAnsi"/>
          <w:sz w:val="20"/>
          <w:szCs w:val="20"/>
        </w:rPr>
        <w:t>Initial requests must be submitted to the Dean of the Faculty of Social Science.</w:t>
      </w:r>
    </w:p>
    <w:p w14:paraId="479609DA" w14:textId="70335216" w:rsidR="001D1E6E" w:rsidRPr="004A794F" w:rsidRDefault="00CC3D85" w:rsidP="00C94F93">
      <w:pPr>
        <w:pStyle w:val="ListParagraph"/>
        <w:numPr>
          <w:ilvl w:val="0"/>
          <w:numId w:val="6"/>
        </w:numPr>
        <w:spacing w:after="0" w:line="360" w:lineRule="auto"/>
        <w:rPr>
          <w:rFonts w:cstheme="minorHAnsi"/>
          <w:sz w:val="20"/>
          <w:szCs w:val="20"/>
        </w:rPr>
      </w:pPr>
      <w:r w:rsidRPr="004A794F">
        <w:rPr>
          <w:rFonts w:cstheme="minorHAnsi"/>
          <w:sz w:val="20"/>
          <w:szCs w:val="20"/>
        </w:rPr>
        <w:t xml:space="preserve">Requests must </w:t>
      </w:r>
      <w:r w:rsidR="00191684" w:rsidRPr="004A794F">
        <w:rPr>
          <w:rFonts w:cstheme="minorHAnsi"/>
          <w:sz w:val="20"/>
          <w:szCs w:val="20"/>
        </w:rPr>
        <w:t xml:space="preserve">include a completed </w:t>
      </w:r>
      <w:r w:rsidR="00191684" w:rsidRPr="00196DB3">
        <w:rPr>
          <w:rFonts w:cstheme="minorHAnsi"/>
          <w:sz w:val="20"/>
          <w:szCs w:val="20"/>
        </w:rPr>
        <w:t>application</w:t>
      </w:r>
      <w:r w:rsidR="00EC73DB" w:rsidRPr="004A794F">
        <w:rPr>
          <w:rFonts w:cstheme="minorHAnsi"/>
          <w:sz w:val="20"/>
          <w:szCs w:val="20"/>
        </w:rPr>
        <w:t xml:space="preserve"> for Centre </w:t>
      </w:r>
      <w:r w:rsidR="002A41AA" w:rsidRPr="004A794F">
        <w:rPr>
          <w:rFonts w:cstheme="minorHAnsi"/>
          <w:sz w:val="20"/>
          <w:szCs w:val="20"/>
        </w:rPr>
        <w:t>establishment</w:t>
      </w:r>
      <w:r w:rsidR="00C904CE" w:rsidRPr="004A794F">
        <w:rPr>
          <w:rFonts w:cstheme="minorHAnsi"/>
          <w:sz w:val="20"/>
          <w:szCs w:val="20"/>
        </w:rPr>
        <w:t>.</w:t>
      </w:r>
    </w:p>
    <w:p w14:paraId="1CBDBCAE" w14:textId="77777777" w:rsidR="00196DB3" w:rsidRDefault="00CC3D85" w:rsidP="00196DB3">
      <w:pPr>
        <w:pStyle w:val="ListParagraph"/>
        <w:numPr>
          <w:ilvl w:val="0"/>
          <w:numId w:val="6"/>
        </w:numPr>
        <w:spacing w:after="0" w:line="360" w:lineRule="auto"/>
        <w:rPr>
          <w:rFonts w:cstheme="minorHAnsi"/>
          <w:sz w:val="20"/>
          <w:szCs w:val="20"/>
        </w:rPr>
      </w:pPr>
      <w:r w:rsidRPr="004A794F">
        <w:rPr>
          <w:rFonts w:cstheme="minorHAnsi"/>
          <w:sz w:val="20"/>
          <w:szCs w:val="20"/>
        </w:rPr>
        <w:t>Centres are approved for a five-year term.</w:t>
      </w:r>
    </w:p>
    <w:p w14:paraId="5C614FDB" w14:textId="77777777" w:rsidR="00196DB3" w:rsidRDefault="00196DB3" w:rsidP="00C94F93">
      <w:pPr>
        <w:pStyle w:val="ListParagraph"/>
        <w:numPr>
          <w:ilvl w:val="0"/>
          <w:numId w:val="6"/>
        </w:numPr>
        <w:spacing w:after="0" w:line="360" w:lineRule="auto"/>
        <w:rPr>
          <w:rFonts w:cstheme="minorHAnsi"/>
          <w:sz w:val="20"/>
          <w:szCs w:val="20"/>
        </w:rPr>
      </w:pPr>
      <w:r w:rsidRPr="00196DB3">
        <w:rPr>
          <w:rFonts w:cstheme="minorHAnsi"/>
          <w:sz w:val="20"/>
          <w:szCs w:val="20"/>
        </w:rPr>
        <w:t>The request must clearly indicate whether the Centre wishes to be research-eligible (able to apply for and hold research funds). Centres pursuing research eligibility must follow the additional processes set out in section 4.4 on Research Eligibility and Affiliate Memberships.</w:t>
      </w:r>
    </w:p>
    <w:p w14:paraId="7C74185E" w14:textId="13DE90AF" w:rsidR="00B42E6C" w:rsidRPr="004A794F" w:rsidRDefault="00CC3D85" w:rsidP="00C94F93">
      <w:pPr>
        <w:pStyle w:val="ListParagraph"/>
        <w:numPr>
          <w:ilvl w:val="0"/>
          <w:numId w:val="6"/>
        </w:numPr>
        <w:spacing w:after="0" w:line="360" w:lineRule="auto"/>
        <w:rPr>
          <w:rFonts w:cstheme="minorHAnsi"/>
          <w:sz w:val="20"/>
          <w:szCs w:val="20"/>
        </w:rPr>
      </w:pPr>
      <w:r w:rsidRPr="004A794F">
        <w:rPr>
          <w:rFonts w:cstheme="minorHAnsi"/>
          <w:sz w:val="20"/>
          <w:szCs w:val="20"/>
        </w:rPr>
        <w:t>Once the Dean or Associate Dean (Research) provides initial approval, the application and a recommendation letter from the Dean will be forwarded to the Office of the Vice-President (Research) (VPR).</w:t>
      </w:r>
    </w:p>
    <w:p w14:paraId="72084A20" w14:textId="0D2CA8D8" w:rsidR="00B42E6C" w:rsidRPr="004A794F" w:rsidRDefault="00B42E6C" w:rsidP="00C94F93">
      <w:pPr>
        <w:pStyle w:val="Default"/>
        <w:numPr>
          <w:ilvl w:val="1"/>
          <w:numId w:val="10"/>
        </w:numPr>
        <w:spacing w:line="360" w:lineRule="auto"/>
        <w:rPr>
          <w:rFonts w:asciiTheme="minorHAnsi" w:hAnsiTheme="minorHAnsi" w:cstheme="minorHAnsi"/>
          <w:b/>
          <w:bCs/>
          <w:sz w:val="20"/>
          <w:szCs w:val="20"/>
        </w:rPr>
      </w:pPr>
      <w:r w:rsidRPr="004A794F">
        <w:rPr>
          <w:rFonts w:asciiTheme="minorHAnsi" w:hAnsiTheme="minorHAnsi" w:cstheme="minorHAnsi"/>
          <w:b/>
          <w:bCs/>
          <w:sz w:val="20"/>
          <w:szCs w:val="20"/>
        </w:rPr>
        <w:t>CENTRE REVIEW</w:t>
      </w:r>
    </w:p>
    <w:p w14:paraId="6DF1BC8E" w14:textId="77777777" w:rsidR="00A665F3" w:rsidRPr="004A794F" w:rsidRDefault="00A665F3" w:rsidP="00C94F93">
      <w:pPr>
        <w:pStyle w:val="ListParagraph"/>
        <w:numPr>
          <w:ilvl w:val="0"/>
          <w:numId w:val="7"/>
        </w:numPr>
        <w:spacing w:after="0" w:line="360" w:lineRule="auto"/>
        <w:rPr>
          <w:rFonts w:cstheme="minorHAnsi"/>
          <w:sz w:val="20"/>
          <w:szCs w:val="20"/>
        </w:rPr>
      </w:pPr>
      <w:r w:rsidRPr="004A794F">
        <w:rPr>
          <w:rFonts w:cstheme="minorHAnsi"/>
          <w:sz w:val="20"/>
          <w:szCs w:val="20"/>
        </w:rPr>
        <w:t>All Centres must undergo review before the end of their mandate.</w:t>
      </w:r>
    </w:p>
    <w:p w14:paraId="34840E8E" w14:textId="77777777" w:rsidR="00A665F3" w:rsidRPr="004A794F" w:rsidRDefault="00A665F3" w:rsidP="00C94F93">
      <w:pPr>
        <w:pStyle w:val="ListParagraph"/>
        <w:numPr>
          <w:ilvl w:val="0"/>
          <w:numId w:val="7"/>
        </w:numPr>
        <w:spacing w:after="0" w:line="360" w:lineRule="auto"/>
        <w:rPr>
          <w:rFonts w:cstheme="minorHAnsi"/>
          <w:sz w:val="20"/>
          <w:szCs w:val="20"/>
        </w:rPr>
      </w:pPr>
      <w:r w:rsidRPr="004A794F">
        <w:rPr>
          <w:rFonts w:cstheme="minorHAnsi"/>
          <w:sz w:val="20"/>
          <w:szCs w:val="20"/>
        </w:rPr>
        <w:t>Centre mandates are renewed for five-year terms.</w:t>
      </w:r>
    </w:p>
    <w:p w14:paraId="2CAA55A4" w14:textId="77777777" w:rsidR="00A665F3" w:rsidRPr="004A794F" w:rsidRDefault="00A665F3" w:rsidP="00C94F93">
      <w:pPr>
        <w:pStyle w:val="ListParagraph"/>
        <w:numPr>
          <w:ilvl w:val="0"/>
          <w:numId w:val="7"/>
        </w:numPr>
        <w:spacing w:after="0" w:line="360" w:lineRule="auto"/>
        <w:rPr>
          <w:rFonts w:cstheme="minorHAnsi"/>
          <w:sz w:val="20"/>
          <w:szCs w:val="20"/>
        </w:rPr>
      </w:pPr>
      <w:r w:rsidRPr="004A794F">
        <w:rPr>
          <w:rFonts w:cstheme="minorHAnsi"/>
          <w:sz w:val="20"/>
          <w:szCs w:val="20"/>
        </w:rPr>
        <w:t>The Dean will notify the Centre Director and Governing Committee of the upcoming review at least six months prior to the mandate end date.</w:t>
      </w:r>
    </w:p>
    <w:p w14:paraId="5C700303" w14:textId="14FCE7A4" w:rsidR="00DE7727" w:rsidRPr="004A794F" w:rsidRDefault="00A665F3" w:rsidP="00C94F93">
      <w:pPr>
        <w:pStyle w:val="ListParagraph"/>
        <w:numPr>
          <w:ilvl w:val="0"/>
          <w:numId w:val="7"/>
        </w:numPr>
        <w:spacing w:after="0" w:line="360" w:lineRule="auto"/>
        <w:rPr>
          <w:rFonts w:cstheme="minorHAnsi"/>
          <w:sz w:val="20"/>
          <w:szCs w:val="20"/>
        </w:rPr>
      </w:pPr>
      <w:r w:rsidRPr="004A794F">
        <w:rPr>
          <w:rFonts w:cstheme="minorHAnsi"/>
          <w:sz w:val="20"/>
          <w:szCs w:val="20"/>
        </w:rPr>
        <w:t xml:space="preserve">The Centre Director, in consultation with the Governing Committee, will complete and submit the Centre review </w:t>
      </w:r>
      <w:r w:rsidR="00EC73DB" w:rsidRPr="00196DB3">
        <w:rPr>
          <w:rFonts w:cstheme="minorHAnsi"/>
          <w:sz w:val="20"/>
          <w:szCs w:val="20"/>
        </w:rPr>
        <w:t>application</w:t>
      </w:r>
      <w:r w:rsidRPr="004A794F">
        <w:rPr>
          <w:rFonts w:cstheme="minorHAnsi"/>
          <w:sz w:val="20"/>
          <w:szCs w:val="20"/>
        </w:rPr>
        <w:t>.</w:t>
      </w:r>
    </w:p>
    <w:p w14:paraId="3446F202" w14:textId="77777777" w:rsidR="00A665F3" w:rsidRPr="004A794F" w:rsidRDefault="00A665F3" w:rsidP="00C94F93">
      <w:pPr>
        <w:pStyle w:val="ListParagraph"/>
        <w:numPr>
          <w:ilvl w:val="0"/>
          <w:numId w:val="7"/>
        </w:numPr>
        <w:spacing w:after="0" w:line="360" w:lineRule="auto"/>
        <w:rPr>
          <w:rFonts w:cstheme="minorHAnsi"/>
          <w:sz w:val="20"/>
          <w:szCs w:val="20"/>
        </w:rPr>
      </w:pPr>
      <w:r w:rsidRPr="004A794F">
        <w:rPr>
          <w:rFonts w:cstheme="minorHAnsi"/>
          <w:sz w:val="20"/>
          <w:szCs w:val="20"/>
        </w:rPr>
        <w:t>Following initial approval, the Dean will forward the review application and recommendation to the VPR.</w:t>
      </w:r>
    </w:p>
    <w:p w14:paraId="62CD4B93" w14:textId="4E81994F" w:rsidR="004A794F" w:rsidRDefault="00A665F3" w:rsidP="00C94F93">
      <w:pPr>
        <w:pStyle w:val="ListParagraph"/>
        <w:numPr>
          <w:ilvl w:val="0"/>
          <w:numId w:val="7"/>
        </w:numPr>
        <w:spacing w:after="0" w:line="360" w:lineRule="auto"/>
        <w:rPr>
          <w:rFonts w:cstheme="minorHAnsi"/>
          <w:sz w:val="20"/>
          <w:szCs w:val="20"/>
        </w:rPr>
      </w:pPr>
      <w:r w:rsidRPr="004A794F">
        <w:rPr>
          <w:rFonts w:cstheme="minorHAnsi"/>
          <w:sz w:val="20"/>
          <w:szCs w:val="20"/>
        </w:rPr>
        <w:t>If a Centre does not seek renewal, the Director must submit a recommendation for termination, including justification and support letters from relevant Department Chairs.</w:t>
      </w:r>
    </w:p>
    <w:p w14:paraId="7E8770A4" w14:textId="13CED57D" w:rsidR="007A2C1E" w:rsidRDefault="007A2C1E" w:rsidP="00C94F93">
      <w:pPr>
        <w:pStyle w:val="ListParagraph"/>
        <w:numPr>
          <w:ilvl w:val="0"/>
          <w:numId w:val="7"/>
        </w:numPr>
        <w:spacing w:after="0" w:line="360" w:lineRule="auto"/>
        <w:rPr>
          <w:rFonts w:cstheme="minorHAnsi"/>
          <w:sz w:val="20"/>
          <w:szCs w:val="20"/>
        </w:rPr>
      </w:pPr>
      <w:r w:rsidRPr="007A2C1E">
        <w:rPr>
          <w:rFonts w:cstheme="minorHAnsi"/>
          <w:sz w:val="20"/>
          <w:szCs w:val="20"/>
        </w:rPr>
        <w:t>Centres may request modifications to their name, mandate, governance structure, research eligibility status, or directorship during an active term. Any such modifications must be submitted in writing by the Dean or Associate Dean (Research) to the Office of the Vice-President (Research) for approval.</w:t>
      </w:r>
    </w:p>
    <w:p w14:paraId="00E0D6EF" w14:textId="31857DF5" w:rsidR="007A2C1E" w:rsidRDefault="007A2C1E" w:rsidP="00C94F93">
      <w:pPr>
        <w:pStyle w:val="ListParagraph"/>
        <w:numPr>
          <w:ilvl w:val="0"/>
          <w:numId w:val="7"/>
        </w:numPr>
        <w:spacing w:after="0" w:line="360" w:lineRule="auto"/>
        <w:rPr>
          <w:rFonts w:cstheme="minorHAnsi"/>
          <w:sz w:val="20"/>
          <w:szCs w:val="20"/>
        </w:rPr>
      </w:pPr>
      <w:r w:rsidRPr="007A2C1E">
        <w:rPr>
          <w:rFonts w:cstheme="minorHAnsi"/>
          <w:sz w:val="20"/>
          <w:szCs w:val="20"/>
        </w:rPr>
        <w:t>If a review recommends restructuring (e.g., transition to a Research Group or Institute), the Dean will consult with the Centre Director and Governing Committee to determine an appropriate timeline and next steps.</w:t>
      </w:r>
    </w:p>
    <w:p w14:paraId="693DF6D8" w14:textId="7B70E42E" w:rsidR="007A2C1E" w:rsidRDefault="007A2C1E" w:rsidP="00C94F93">
      <w:pPr>
        <w:pStyle w:val="ListParagraph"/>
        <w:numPr>
          <w:ilvl w:val="0"/>
          <w:numId w:val="7"/>
        </w:numPr>
        <w:spacing w:after="0" w:line="360" w:lineRule="auto"/>
        <w:rPr>
          <w:rFonts w:cstheme="minorHAnsi"/>
          <w:sz w:val="20"/>
          <w:szCs w:val="20"/>
        </w:rPr>
      </w:pPr>
      <w:r w:rsidRPr="007A2C1E">
        <w:rPr>
          <w:rFonts w:cstheme="minorHAnsi"/>
          <w:sz w:val="20"/>
          <w:szCs w:val="20"/>
        </w:rPr>
        <w:t>If a review recommends closure of a Centre, the Dean will communicate the rationale and proposed closure date to the Office of the Vice-President (Research) for final confirmation.</w:t>
      </w:r>
    </w:p>
    <w:p w14:paraId="43C21303" w14:textId="77777777" w:rsidR="00BC2470" w:rsidRDefault="00BC2470" w:rsidP="00BC2470">
      <w:pPr>
        <w:spacing w:after="0" w:line="360" w:lineRule="auto"/>
        <w:rPr>
          <w:rFonts w:cstheme="minorHAnsi"/>
          <w:sz w:val="20"/>
          <w:szCs w:val="20"/>
        </w:rPr>
      </w:pPr>
    </w:p>
    <w:p w14:paraId="2D43F313" w14:textId="77777777" w:rsidR="00BC2470" w:rsidRPr="00BC2470" w:rsidRDefault="00BC2470" w:rsidP="00BC2470">
      <w:pPr>
        <w:spacing w:after="0" w:line="360" w:lineRule="auto"/>
        <w:rPr>
          <w:rFonts w:cstheme="minorHAnsi"/>
          <w:sz w:val="20"/>
          <w:szCs w:val="20"/>
        </w:rPr>
      </w:pPr>
    </w:p>
    <w:p w14:paraId="7F1BB38A" w14:textId="4B9882A6" w:rsidR="00A665F3" w:rsidRPr="004A794F" w:rsidRDefault="00A665F3" w:rsidP="00C94F93">
      <w:pPr>
        <w:pStyle w:val="Default"/>
        <w:numPr>
          <w:ilvl w:val="1"/>
          <w:numId w:val="10"/>
        </w:numPr>
        <w:spacing w:line="360" w:lineRule="auto"/>
        <w:rPr>
          <w:rFonts w:asciiTheme="minorHAnsi" w:hAnsiTheme="minorHAnsi" w:cstheme="minorHAnsi"/>
          <w:b/>
          <w:bCs/>
          <w:sz w:val="20"/>
          <w:szCs w:val="20"/>
        </w:rPr>
      </w:pPr>
      <w:r w:rsidRPr="004A794F">
        <w:rPr>
          <w:rFonts w:asciiTheme="minorHAnsi" w:hAnsiTheme="minorHAnsi" w:cstheme="minorHAnsi"/>
          <w:b/>
          <w:bCs/>
          <w:sz w:val="20"/>
          <w:szCs w:val="20"/>
        </w:rPr>
        <w:lastRenderedPageBreak/>
        <w:t>Reporting Requirements</w:t>
      </w:r>
    </w:p>
    <w:p w14:paraId="2410C30F" w14:textId="3E65F711" w:rsidR="000F2C15" w:rsidRDefault="000F2C15" w:rsidP="00C94F93">
      <w:pPr>
        <w:pStyle w:val="ListParagraph"/>
        <w:numPr>
          <w:ilvl w:val="0"/>
          <w:numId w:val="14"/>
        </w:numPr>
        <w:spacing w:after="0" w:line="360" w:lineRule="auto"/>
        <w:rPr>
          <w:rFonts w:cstheme="minorHAnsi"/>
          <w:sz w:val="20"/>
          <w:szCs w:val="20"/>
        </w:rPr>
      </w:pPr>
      <w:r w:rsidRPr="000F2C15">
        <w:rPr>
          <w:rFonts w:cstheme="minorHAnsi"/>
          <w:sz w:val="20"/>
          <w:szCs w:val="20"/>
        </w:rPr>
        <w:t>Each Centre must submit an annual report to the Associate Dean (Research) by</w:t>
      </w:r>
      <w:r w:rsidR="003F0477">
        <w:rPr>
          <w:rFonts w:cstheme="minorHAnsi"/>
          <w:sz w:val="20"/>
          <w:szCs w:val="20"/>
        </w:rPr>
        <w:t xml:space="preserve"> last day of March</w:t>
      </w:r>
      <w:r w:rsidR="00832961">
        <w:rPr>
          <w:rFonts w:cstheme="minorHAnsi"/>
          <w:sz w:val="20"/>
          <w:szCs w:val="20"/>
        </w:rPr>
        <w:t xml:space="preserve">. The report can be </w:t>
      </w:r>
      <w:r w:rsidR="00372BD0">
        <w:rPr>
          <w:rFonts w:cstheme="minorHAnsi"/>
          <w:sz w:val="20"/>
          <w:szCs w:val="20"/>
        </w:rPr>
        <w:t xml:space="preserve">emailed directly to </w:t>
      </w:r>
      <w:r w:rsidRPr="000F2C15">
        <w:rPr>
          <w:rFonts w:cstheme="minorHAnsi"/>
          <w:sz w:val="20"/>
          <w:szCs w:val="20"/>
        </w:rPr>
        <w:t>ADR</w:t>
      </w:r>
      <w:r w:rsidR="00372BD0">
        <w:rPr>
          <w:rFonts w:cstheme="minorHAnsi"/>
          <w:sz w:val="20"/>
          <w:szCs w:val="20"/>
        </w:rPr>
        <w:t xml:space="preserve"> and</w:t>
      </w:r>
      <w:r w:rsidR="00832961">
        <w:rPr>
          <w:rFonts w:cstheme="minorHAnsi"/>
          <w:sz w:val="20"/>
          <w:szCs w:val="20"/>
        </w:rPr>
        <w:t xml:space="preserve"> </w:t>
      </w:r>
      <w:r w:rsidR="00890EB3">
        <w:rPr>
          <w:rFonts w:cstheme="minorHAnsi"/>
          <w:sz w:val="20"/>
          <w:szCs w:val="20"/>
        </w:rPr>
        <w:t xml:space="preserve">copying </w:t>
      </w:r>
      <w:hyperlink r:id="rId9" w:history="1">
        <w:r w:rsidRPr="006E6891">
          <w:rPr>
            <w:rStyle w:val="Hyperlink"/>
            <w:rFonts w:cstheme="minorHAnsi"/>
            <w:sz w:val="20"/>
            <w:szCs w:val="20"/>
          </w:rPr>
          <w:t>socsci-researchofficers@uwo.ca</w:t>
        </w:r>
      </w:hyperlink>
      <w:r>
        <w:rPr>
          <w:rFonts w:cstheme="minorHAnsi"/>
          <w:sz w:val="20"/>
          <w:szCs w:val="20"/>
        </w:rPr>
        <w:t xml:space="preserve">. </w:t>
      </w:r>
    </w:p>
    <w:p w14:paraId="24E59365" w14:textId="54783EDF" w:rsidR="009114F5" w:rsidRPr="000F2C15" w:rsidRDefault="009114F5" w:rsidP="00C94F93">
      <w:pPr>
        <w:pStyle w:val="ListParagraph"/>
        <w:numPr>
          <w:ilvl w:val="0"/>
          <w:numId w:val="14"/>
        </w:numPr>
        <w:spacing w:after="0" w:line="360" w:lineRule="auto"/>
        <w:rPr>
          <w:rFonts w:cstheme="minorHAnsi"/>
          <w:sz w:val="20"/>
          <w:szCs w:val="20"/>
        </w:rPr>
      </w:pPr>
      <w:r w:rsidRPr="000F2C15">
        <w:rPr>
          <w:rFonts w:cstheme="minorHAnsi"/>
          <w:sz w:val="20"/>
          <w:szCs w:val="20"/>
        </w:rPr>
        <w:t>The annual report should summarize key activities, research outcomes, funding applications and awards, training contributions, partnerships, and a budget snapshot for the current and upcoming year.</w:t>
      </w:r>
    </w:p>
    <w:p w14:paraId="16545F6A" w14:textId="16BCE2C8" w:rsidR="009114F5" w:rsidRPr="004A794F" w:rsidRDefault="009114F5" w:rsidP="00C94F93">
      <w:pPr>
        <w:pStyle w:val="ListParagraph"/>
        <w:numPr>
          <w:ilvl w:val="0"/>
          <w:numId w:val="14"/>
        </w:numPr>
        <w:spacing w:after="0" w:line="360" w:lineRule="auto"/>
        <w:rPr>
          <w:rFonts w:cstheme="minorHAnsi"/>
          <w:sz w:val="20"/>
          <w:szCs w:val="20"/>
        </w:rPr>
      </w:pPr>
      <w:r w:rsidRPr="004A794F">
        <w:rPr>
          <w:rFonts w:cstheme="minorHAnsi"/>
          <w:sz w:val="20"/>
          <w:szCs w:val="20"/>
        </w:rPr>
        <w:t>Centres must notify the Dean of any significant changes to governance, membership, strategic direction, or funding that may impact their mandate.</w:t>
      </w:r>
    </w:p>
    <w:p w14:paraId="07D7C70F" w14:textId="43C5C9E9" w:rsidR="00CF11AE" w:rsidRDefault="009114F5" w:rsidP="00C94F93">
      <w:pPr>
        <w:pStyle w:val="ListParagraph"/>
        <w:numPr>
          <w:ilvl w:val="0"/>
          <w:numId w:val="14"/>
        </w:numPr>
        <w:spacing w:after="0" w:line="360" w:lineRule="auto"/>
        <w:rPr>
          <w:rFonts w:cstheme="minorHAnsi"/>
          <w:sz w:val="20"/>
          <w:szCs w:val="20"/>
        </w:rPr>
      </w:pPr>
      <w:r w:rsidRPr="004A794F">
        <w:rPr>
          <w:rFonts w:cstheme="minorHAnsi"/>
          <w:sz w:val="20"/>
          <w:szCs w:val="20"/>
        </w:rPr>
        <w:t>Failure to submit required reports may affect future renewal decisions.</w:t>
      </w:r>
    </w:p>
    <w:p w14:paraId="0E7B314D" w14:textId="6863FA7F" w:rsidR="00831D90" w:rsidRPr="003510D9" w:rsidRDefault="00831D90" w:rsidP="00C94F93">
      <w:pPr>
        <w:spacing w:after="0" w:line="360" w:lineRule="auto"/>
        <w:rPr>
          <w:rFonts w:cstheme="minorHAnsi"/>
          <w:b/>
          <w:bCs/>
          <w:sz w:val="20"/>
          <w:szCs w:val="20"/>
        </w:rPr>
      </w:pPr>
      <w:r w:rsidRPr="003510D9">
        <w:rPr>
          <w:rFonts w:cstheme="minorHAnsi"/>
          <w:b/>
          <w:bCs/>
          <w:sz w:val="20"/>
          <w:szCs w:val="20"/>
        </w:rPr>
        <w:t>4.4 Research Eligibility and Affiliate Memberships</w:t>
      </w:r>
    </w:p>
    <w:p w14:paraId="6D848813" w14:textId="5A6854D4" w:rsidR="00831D90" w:rsidRPr="00831D90" w:rsidRDefault="00831D90" w:rsidP="00C94F93">
      <w:pPr>
        <w:pStyle w:val="ListParagraph"/>
        <w:numPr>
          <w:ilvl w:val="0"/>
          <w:numId w:val="13"/>
        </w:numPr>
        <w:spacing w:after="0" w:line="360" w:lineRule="auto"/>
        <w:rPr>
          <w:rFonts w:cstheme="minorHAnsi"/>
          <w:sz w:val="20"/>
          <w:szCs w:val="20"/>
        </w:rPr>
      </w:pPr>
      <w:r w:rsidRPr="00831D90">
        <w:rPr>
          <w:rFonts w:cstheme="minorHAnsi"/>
          <w:sz w:val="20"/>
          <w:szCs w:val="20"/>
        </w:rPr>
        <w:t xml:space="preserve">A Centre must be designated as research eligible </w:t>
      </w:r>
      <w:proofErr w:type="gramStart"/>
      <w:r w:rsidRPr="00831D90">
        <w:rPr>
          <w:rFonts w:cstheme="minorHAnsi"/>
          <w:sz w:val="20"/>
          <w:szCs w:val="20"/>
        </w:rPr>
        <w:t>in order to</w:t>
      </w:r>
      <w:proofErr w:type="gramEnd"/>
      <w:r w:rsidRPr="00831D90">
        <w:rPr>
          <w:rFonts w:cstheme="minorHAnsi"/>
          <w:sz w:val="20"/>
          <w:szCs w:val="20"/>
        </w:rPr>
        <w:t xml:space="preserve"> apply for and hold research funding.</w:t>
      </w:r>
    </w:p>
    <w:p w14:paraId="10653BF0" w14:textId="34EEC2F4" w:rsidR="00831D90" w:rsidRDefault="00831D90" w:rsidP="00C94F93">
      <w:pPr>
        <w:pStyle w:val="ListParagraph"/>
        <w:numPr>
          <w:ilvl w:val="0"/>
          <w:numId w:val="13"/>
        </w:numPr>
        <w:spacing w:after="0" w:line="360" w:lineRule="auto"/>
        <w:rPr>
          <w:rFonts w:cstheme="minorHAnsi"/>
          <w:sz w:val="20"/>
          <w:szCs w:val="20"/>
        </w:rPr>
      </w:pPr>
      <w:r w:rsidRPr="00831D90">
        <w:rPr>
          <w:rFonts w:cstheme="minorHAnsi"/>
          <w:sz w:val="20"/>
          <w:szCs w:val="20"/>
        </w:rPr>
        <w:t>Requests for research eligibility must be included in the Centre establishment application submitted to the Dean.</w:t>
      </w:r>
    </w:p>
    <w:p w14:paraId="46B9E96D" w14:textId="10DED274" w:rsidR="007A2C1E" w:rsidRPr="00831D90" w:rsidRDefault="007A2C1E" w:rsidP="00C94F93">
      <w:pPr>
        <w:pStyle w:val="ListParagraph"/>
        <w:numPr>
          <w:ilvl w:val="0"/>
          <w:numId w:val="13"/>
        </w:numPr>
        <w:spacing w:after="0" w:line="360" w:lineRule="auto"/>
        <w:rPr>
          <w:rFonts w:cstheme="minorHAnsi"/>
          <w:sz w:val="20"/>
          <w:szCs w:val="20"/>
        </w:rPr>
      </w:pPr>
      <w:r w:rsidRPr="007A2C1E">
        <w:rPr>
          <w:rFonts w:cstheme="minorHAnsi"/>
          <w:sz w:val="20"/>
          <w:szCs w:val="20"/>
        </w:rPr>
        <w:t>Centres requesting research eligibility must also identify the expected indirect cost allocation percentage, as outlined in Western Policy 7.7, when submitting the establishment or renewal application.</w:t>
      </w:r>
    </w:p>
    <w:p w14:paraId="16B9238E" w14:textId="4C260ACB" w:rsidR="00831D90" w:rsidRPr="00831D90" w:rsidRDefault="00831D90" w:rsidP="00C94F93">
      <w:pPr>
        <w:pStyle w:val="ListParagraph"/>
        <w:numPr>
          <w:ilvl w:val="0"/>
          <w:numId w:val="13"/>
        </w:numPr>
        <w:spacing w:after="0" w:line="360" w:lineRule="auto"/>
        <w:rPr>
          <w:rFonts w:cstheme="minorHAnsi"/>
          <w:sz w:val="20"/>
          <w:szCs w:val="20"/>
        </w:rPr>
      </w:pPr>
      <w:r w:rsidRPr="00831D90">
        <w:rPr>
          <w:rFonts w:cstheme="minorHAnsi"/>
          <w:sz w:val="20"/>
          <w:szCs w:val="20"/>
        </w:rPr>
        <w:t xml:space="preserve">Upon approval from the Vice-President (Research), the </w:t>
      </w:r>
      <w:bookmarkStart w:id="0" w:name="_Hlk215498188"/>
      <w:r w:rsidRPr="00831D90">
        <w:rPr>
          <w:rFonts w:cstheme="minorHAnsi"/>
          <w:sz w:val="20"/>
          <w:szCs w:val="20"/>
        </w:rPr>
        <w:t xml:space="preserve">Office of the Associate Dean (Research) </w:t>
      </w:r>
      <w:bookmarkEnd w:id="0"/>
      <w:r w:rsidRPr="00831D90">
        <w:rPr>
          <w:rFonts w:cstheme="minorHAnsi"/>
          <w:sz w:val="20"/>
          <w:szCs w:val="20"/>
        </w:rPr>
        <w:t>will request the creation of a new Centre ID from Western Research Services.</w:t>
      </w:r>
    </w:p>
    <w:p w14:paraId="52C48514" w14:textId="4680FB6F" w:rsidR="00603702" w:rsidRDefault="00603702" w:rsidP="00603702">
      <w:pPr>
        <w:pStyle w:val="ListParagraph"/>
        <w:numPr>
          <w:ilvl w:val="0"/>
          <w:numId w:val="13"/>
        </w:numPr>
        <w:spacing w:after="0" w:line="360" w:lineRule="auto"/>
        <w:rPr>
          <w:rFonts w:cstheme="minorHAnsi"/>
          <w:sz w:val="20"/>
          <w:szCs w:val="20"/>
        </w:rPr>
      </w:pPr>
      <w:r w:rsidRPr="00603702">
        <w:rPr>
          <w:rFonts w:cstheme="minorHAnsi"/>
          <w:sz w:val="20"/>
          <w:szCs w:val="20"/>
        </w:rPr>
        <w:t>As a default, when a Centre is approved as research eligible, the Office of the Associate Dean (Research) will begin the process of affiliating the Centre Director as an Affiliate Member.</w:t>
      </w:r>
      <w:r>
        <w:rPr>
          <w:rFonts w:cstheme="minorHAnsi"/>
          <w:sz w:val="20"/>
          <w:szCs w:val="20"/>
        </w:rPr>
        <w:t xml:space="preserve"> A</w:t>
      </w:r>
      <w:r w:rsidRPr="00603702">
        <w:rPr>
          <w:rFonts w:cstheme="minorHAnsi"/>
          <w:sz w:val="20"/>
          <w:szCs w:val="20"/>
        </w:rPr>
        <w:t xml:space="preserve">dditional Affiliate Memberships may be created for other eligible faculty members upon request. </w:t>
      </w:r>
    </w:p>
    <w:p w14:paraId="364EE6B0" w14:textId="24C91F5A" w:rsidR="00831D90" w:rsidRPr="00603702" w:rsidRDefault="00831D90" w:rsidP="00603702">
      <w:pPr>
        <w:pStyle w:val="ListParagraph"/>
        <w:numPr>
          <w:ilvl w:val="0"/>
          <w:numId w:val="13"/>
        </w:numPr>
        <w:spacing w:after="0" w:line="360" w:lineRule="auto"/>
        <w:rPr>
          <w:rFonts w:cstheme="minorHAnsi"/>
          <w:sz w:val="20"/>
          <w:szCs w:val="20"/>
        </w:rPr>
      </w:pPr>
      <w:r w:rsidRPr="00603702">
        <w:rPr>
          <w:rFonts w:cstheme="minorHAnsi"/>
          <w:sz w:val="20"/>
          <w:szCs w:val="20"/>
        </w:rPr>
        <w:t>Affiliate Memberships are established or renewed through the following steps:</w:t>
      </w:r>
    </w:p>
    <w:p w14:paraId="45D80F0A" w14:textId="77777777" w:rsidR="00831D90" w:rsidRPr="00831D90" w:rsidRDefault="00831D90" w:rsidP="00C94F93">
      <w:pPr>
        <w:pStyle w:val="ListParagraph"/>
        <w:numPr>
          <w:ilvl w:val="1"/>
          <w:numId w:val="13"/>
        </w:numPr>
        <w:spacing w:after="0" w:line="360" w:lineRule="auto"/>
        <w:rPr>
          <w:rFonts w:cstheme="minorHAnsi"/>
          <w:sz w:val="20"/>
          <w:szCs w:val="20"/>
        </w:rPr>
      </w:pPr>
      <w:r w:rsidRPr="00831D90">
        <w:rPr>
          <w:rFonts w:cstheme="minorHAnsi"/>
          <w:sz w:val="20"/>
          <w:szCs w:val="20"/>
        </w:rPr>
        <w:t>The faculty member submits a completed Membership Affiliation Letter to the Dean’s Office (Associate Dean, Research).</w:t>
      </w:r>
    </w:p>
    <w:p w14:paraId="191FE834" w14:textId="20881651" w:rsidR="00831D90" w:rsidRPr="00831D90" w:rsidRDefault="00831D90" w:rsidP="00C94F93">
      <w:pPr>
        <w:pStyle w:val="ListParagraph"/>
        <w:numPr>
          <w:ilvl w:val="1"/>
          <w:numId w:val="13"/>
        </w:numPr>
        <w:spacing w:after="0" w:line="360" w:lineRule="auto"/>
        <w:rPr>
          <w:rFonts w:cstheme="minorHAnsi"/>
          <w:sz w:val="20"/>
          <w:szCs w:val="20"/>
        </w:rPr>
      </w:pPr>
      <w:r w:rsidRPr="00831D90">
        <w:rPr>
          <w:rFonts w:cstheme="minorHAnsi"/>
          <w:sz w:val="20"/>
          <w:szCs w:val="20"/>
        </w:rPr>
        <w:t xml:space="preserve">The </w:t>
      </w:r>
      <w:r w:rsidR="0014545D" w:rsidRPr="0014545D">
        <w:rPr>
          <w:rFonts w:cstheme="minorHAnsi"/>
          <w:sz w:val="20"/>
          <w:szCs w:val="20"/>
        </w:rPr>
        <w:t xml:space="preserve">Office of the Associate Dean (Research) </w:t>
      </w:r>
      <w:r w:rsidRPr="00831D90">
        <w:rPr>
          <w:rFonts w:cstheme="minorHAnsi"/>
          <w:sz w:val="20"/>
          <w:szCs w:val="20"/>
        </w:rPr>
        <w:t>prepares a Faculty Appointment Notice (FAN) form for Dean’s approval.</w:t>
      </w:r>
    </w:p>
    <w:p w14:paraId="5EE03B70" w14:textId="3B8D2B9A" w:rsidR="00831D90" w:rsidRPr="00831D90" w:rsidRDefault="00831D90" w:rsidP="00C94F93">
      <w:pPr>
        <w:pStyle w:val="ListParagraph"/>
        <w:numPr>
          <w:ilvl w:val="1"/>
          <w:numId w:val="13"/>
        </w:numPr>
        <w:spacing w:after="0" w:line="360" w:lineRule="auto"/>
        <w:rPr>
          <w:rFonts w:cstheme="minorHAnsi"/>
          <w:sz w:val="20"/>
          <w:szCs w:val="20"/>
        </w:rPr>
      </w:pPr>
      <w:r w:rsidRPr="00831D90">
        <w:rPr>
          <w:rFonts w:cstheme="minorHAnsi"/>
          <w:sz w:val="20"/>
          <w:szCs w:val="20"/>
        </w:rPr>
        <w:t>The Dean’s Office</w:t>
      </w:r>
      <w:r w:rsidR="0014545D">
        <w:rPr>
          <w:rFonts w:cstheme="minorHAnsi"/>
          <w:sz w:val="20"/>
          <w:szCs w:val="20"/>
        </w:rPr>
        <w:t xml:space="preserve"> (</w:t>
      </w:r>
      <w:r w:rsidR="0014545D" w:rsidRPr="0014545D">
        <w:rPr>
          <w:rFonts w:cstheme="minorHAnsi"/>
          <w:sz w:val="20"/>
          <w:szCs w:val="20"/>
        </w:rPr>
        <w:t>Faculty Affairs Specialist</w:t>
      </w:r>
      <w:r w:rsidR="0014545D">
        <w:rPr>
          <w:rFonts w:cstheme="minorHAnsi"/>
          <w:sz w:val="20"/>
          <w:szCs w:val="20"/>
        </w:rPr>
        <w:t xml:space="preserve">) </w:t>
      </w:r>
      <w:r w:rsidR="00C94F93">
        <w:rPr>
          <w:rFonts w:cstheme="minorHAnsi"/>
          <w:sz w:val="20"/>
          <w:szCs w:val="20"/>
        </w:rPr>
        <w:t>submits</w:t>
      </w:r>
      <w:r w:rsidRPr="00831D90">
        <w:rPr>
          <w:rFonts w:cstheme="minorHAnsi"/>
          <w:sz w:val="20"/>
          <w:szCs w:val="20"/>
        </w:rPr>
        <w:t xml:space="preserve"> the Membership Letter and FAN to Faculty Relations.</w:t>
      </w:r>
    </w:p>
    <w:p w14:paraId="6A01348A" w14:textId="77777777" w:rsidR="00831D90" w:rsidRPr="00831D90" w:rsidRDefault="00831D90" w:rsidP="00C94F93">
      <w:pPr>
        <w:pStyle w:val="ListParagraph"/>
        <w:numPr>
          <w:ilvl w:val="1"/>
          <w:numId w:val="13"/>
        </w:numPr>
        <w:spacing w:after="0" w:line="360" w:lineRule="auto"/>
        <w:rPr>
          <w:rFonts w:cstheme="minorHAnsi"/>
          <w:sz w:val="20"/>
          <w:szCs w:val="20"/>
        </w:rPr>
      </w:pPr>
      <w:r w:rsidRPr="00831D90">
        <w:rPr>
          <w:rFonts w:cstheme="minorHAnsi"/>
          <w:sz w:val="20"/>
          <w:szCs w:val="20"/>
        </w:rPr>
        <w:t>Upon approval, Faculty Relations updates the appointment in the HR system.</w:t>
      </w:r>
    </w:p>
    <w:p w14:paraId="5EB99359" w14:textId="77777777" w:rsidR="00831D90" w:rsidRPr="00831D90" w:rsidRDefault="00831D90" w:rsidP="00C94F93">
      <w:pPr>
        <w:pStyle w:val="ListParagraph"/>
        <w:numPr>
          <w:ilvl w:val="1"/>
          <w:numId w:val="13"/>
        </w:numPr>
        <w:spacing w:after="0" w:line="360" w:lineRule="auto"/>
        <w:rPr>
          <w:rFonts w:cstheme="minorHAnsi"/>
          <w:sz w:val="20"/>
          <w:szCs w:val="20"/>
        </w:rPr>
      </w:pPr>
      <w:r w:rsidRPr="00831D90">
        <w:rPr>
          <w:rFonts w:cstheme="minorHAnsi"/>
          <w:sz w:val="20"/>
          <w:szCs w:val="20"/>
        </w:rPr>
        <w:t>Once active in HR, the faculty member will be able to select the Centre as their “Department” when creating new ROLA proposals.</w:t>
      </w:r>
    </w:p>
    <w:p w14:paraId="15DFC36B" w14:textId="31CE8B23" w:rsidR="00831D90" w:rsidRDefault="00831D90" w:rsidP="00C94F93">
      <w:pPr>
        <w:pStyle w:val="ListParagraph"/>
        <w:numPr>
          <w:ilvl w:val="1"/>
          <w:numId w:val="13"/>
        </w:numPr>
        <w:spacing w:after="0" w:line="360" w:lineRule="auto"/>
        <w:rPr>
          <w:rFonts w:cstheme="minorHAnsi"/>
          <w:sz w:val="20"/>
          <w:szCs w:val="20"/>
        </w:rPr>
      </w:pPr>
      <w:r w:rsidRPr="00831D90">
        <w:rPr>
          <w:rFonts w:cstheme="minorHAnsi"/>
          <w:sz w:val="20"/>
          <w:szCs w:val="20"/>
        </w:rPr>
        <w:t>Faculty members are responsible for confirming the activation of their Affiliate Membership in the HR system.</w:t>
      </w:r>
    </w:p>
    <w:p w14:paraId="31D8F7AC" w14:textId="14509F8F" w:rsidR="00FD17A9" w:rsidRPr="004A794F" w:rsidRDefault="0093182B" w:rsidP="00C94F93">
      <w:pPr>
        <w:pStyle w:val="Default"/>
        <w:numPr>
          <w:ilvl w:val="0"/>
          <w:numId w:val="10"/>
        </w:numPr>
        <w:spacing w:line="360" w:lineRule="auto"/>
        <w:rPr>
          <w:rFonts w:asciiTheme="minorHAnsi" w:hAnsiTheme="minorHAnsi" w:cstheme="minorHAnsi"/>
          <w:b/>
          <w:bCs/>
          <w:sz w:val="20"/>
          <w:szCs w:val="20"/>
        </w:rPr>
      </w:pPr>
      <w:r w:rsidRPr="004A794F">
        <w:rPr>
          <w:rFonts w:asciiTheme="minorHAnsi" w:hAnsiTheme="minorHAnsi" w:cstheme="minorHAnsi"/>
          <w:b/>
          <w:bCs/>
          <w:sz w:val="20"/>
          <w:szCs w:val="20"/>
        </w:rPr>
        <w:t xml:space="preserve">CENTRE </w:t>
      </w:r>
      <w:r w:rsidR="00F06C72" w:rsidRPr="004A794F">
        <w:rPr>
          <w:rFonts w:asciiTheme="minorHAnsi" w:hAnsiTheme="minorHAnsi" w:cstheme="minorHAnsi"/>
          <w:b/>
          <w:bCs/>
          <w:sz w:val="20"/>
          <w:szCs w:val="20"/>
        </w:rPr>
        <w:t>DIRECTOR</w:t>
      </w:r>
    </w:p>
    <w:p w14:paraId="69A3D113" w14:textId="34A92271" w:rsidR="00363907" w:rsidRPr="004A794F" w:rsidRDefault="00363907" w:rsidP="00C94F93">
      <w:pPr>
        <w:pStyle w:val="Default"/>
        <w:numPr>
          <w:ilvl w:val="1"/>
          <w:numId w:val="12"/>
        </w:numPr>
        <w:spacing w:line="360" w:lineRule="auto"/>
        <w:rPr>
          <w:rFonts w:asciiTheme="minorHAnsi" w:hAnsiTheme="minorHAnsi" w:cstheme="minorHAnsi"/>
          <w:b/>
          <w:bCs/>
          <w:sz w:val="20"/>
          <w:szCs w:val="20"/>
        </w:rPr>
      </w:pPr>
      <w:r w:rsidRPr="004A794F">
        <w:rPr>
          <w:rFonts w:asciiTheme="minorHAnsi" w:hAnsiTheme="minorHAnsi" w:cstheme="minorHAnsi"/>
          <w:b/>
          <w:bCs/>
          <w:color w:val="auto"/>
          <w:sz w:val="20"/>
          <w:szCs w:val="20"/>
        </w:rPr>
        <w:t>Appointment of a new Director of a Centre</w:t>
      </w:r>
    </w:p>
    <w:p w14:paraId="2D59365B" w14:textId="77777777" w:rsidR="00FD17A9" w:rsidRPr="004A794F" w:rsidRDefault="00FD17A9" w:rsidP="00C94F93">
      <w:pPr>
        <w:pStyle w:val="ListParagraph"/>
        <w:numPr>
          <w:ilvl w:val="0"/>
          <w:numId w:val="19"/>
        </w:numPr>
        <w:spacing w:after="0" w:line="360" w:lineRule="auto"/>
        <w:rPr>
          <w:rFonts w:cstheme="minorHAnsi"/>
          <w:sz w:val="20"/>
          <w:szCs w:val="20"/>
        </w:rPr>
      </w:pPr>
      <w:r w:rsidRPr="004A794F">
        <w:rPr>
          <w:rFonts w:cstheme="minorHAnsi"/>
          <w:sz w:val="20"/>
          <w:szCs w:val="20"/>
        </w:rPr>
        <w:t>The Dean appoints the Centre Director based on the recommendation of the Centre’s Governing Committee. The Dean will normally initiate a search when: (1) establishing a new Centre; (2) an incumbent Director does not seek renewal; (3) an incumbent has completed two consecutive terms.</w:t>
      </w:r>
    </w:p>
    <w:p w14:paraId="2B365D07" w14:textId="77777777" w:rsidR="00FD17A9" w:rsidRPr="004A794F" w:rsidRDefault="00FD17A9" w:rsidP="00C94F93">
      <w:pPr>
        <w:pStyle w:val="ListParagraph"/>
        <w:numPr>
          <w:ilvl w:val="0"/>
          <w:numId w:val="19"/>
        </w:numPr>
        <w:spacing w:after="0" w:line="360" w:lineRule="auto"/>
        <w:rPr>
          <w:rFonts w:cstheme="minorHAnsi"/>
          <w:sz w:val="20"/>
          <w:szCs w:val="20"/>
        </w:rPr>
      </w:pPr>
      <w:r w:rsidRPr="004A794F">
        <w:rPr>
          <w:rFonts w:cstheme="minorHAnsi"/>
          <w:sz w:val="20"/>
          <w:szCs w:val="20"/>
        </w:rPr>
        <w:lastRenderedPageBreak/>
        <w:t>The Director Search Committee will normally consist of three members, including at least two members of the Centre’s Governing Committee.</w:t>
      </w:r>
    </w:p>
    <w:p w14:paraId="7897D882" w14:textId="2A638E80" w:rsidR="00FD17A9" w:rsidRPr="004A794F" w:rsidRDefault="00FD17A9" w:rsidP="00C94F93">
      <w:pPr>
        <w:pStyle w:val="ListParagraph"/>
        <w:numPr>
          <w:ilvl w:val="0"/>
          <w:numId w:val="19"/>
        </w:numPr>
        <w:spacing w:after="0" w:line="360" w:lineRule="auto"/>
        <w:rPr>
          <w:rFonts w:cstheme="minorHAnsi"/>
          <w:sz w:val="20"/>
          <w:szCs w:val="20"/>
        </w:rPr>
      </w:pPr>
      <w:r w:rsidRPr="004A794F">
        <w:rPr>
          <w:rFonts w:cstheme="minorHAnsi"/>
          <w:sz w:val="20"/>
          <w:szCs w:val="20"/>
        </w:rPr>
        <w:t>The Governing Committee will solicit expressions of interest from eligible faculty members. Applicants should submit: (1) an updated CV; (2) a letter outlining motivation and vision for the Centre; (3) a public presentation may be requested from shortlisted candidates.</w:t>
      </w:r>
    </w:p>
    <w:p w14:paraId="44D344EA" w14:textId="77777777" w:rsidR="00FD17A9" w:rsidRPr="004A794F" w:rsidRDefault="00FD17A9" w:rsidP="00C94F93">
      <w:pPr>
        <w:pStyle w:val="ListParagraph"/>
        <w:numPr>
          <w:ilvl w:val="0"/>
          <w:numId w:val="19"/>
        </w:numPr>
        <w:spacing w:after="0" w:line="360" w:lineRule="auto"/>
        <w:rPr>
          <w:rFonts w:cstheme="minorHAnsi"/>
          <w:sz w:val="20"/>
          <w:szCs w:val="20"/>
        </w:rPr>
      </w:pPr>
      <w:r w:rsidRPr="004A794F">
        <w:rPr>
          <w:rFonts w:cstheme="minorHAnsi"/>
          <w:sz w:val="20"/>
          <w:szCs w:val="20"/>
        </w:rPr>
        <w:t>The Governing Committee may seek input from Centre members, Department Chairs, faculty, students, and other stakeholders.</w:t>
      </w:r>
    </w:p>
    <w:p w14:paraId="0ADE8ECC" w14:textId="6714092E" w:rsidR="00FD17A9" w:rsidRPr="004A794F" w:rsidRDefault="00FD17A9" w:rsidP="00C94F93">
      <w:pPr>
        <w:pStyle w:val="ListParagraph"/>
        <w:numPr>
          <w:ilvl w:val="0"/>
          <w:numId w:val="19"/>
        </w:numPr>
        <w:spacing w:after="0" w:line="360" w:lineRule="auto"/>
        <w:rPr>
          <w:rFonts w:cstheme="minorHAnsi"/>
          <w:sz w:val="20"/>
          <w:szCs w:val="20"/>
        </w:rPr>
      </w:pPr>
      <w:r w:rsidRPr="004A794F">
        <w:rPr>
          <w:rFonts w:cstheme="minorHAnsi"/>
          <w:sz w:val="20"/>
          <w:szCs w:val="20"/>
        </w:rPr>
        <w:t>The Dean may appoint an interim Director for up to 12 months if required (e.g., during a leave or ongoing search process).</w:t>
      </w:r>
    </w:p>
    <w:p w14:paraId="6CF492E4" w14:textId="7F0EC77F" w:rsidR="00363907" w:rsidRPr="004A794F" w:rsidRDefault="00296CE4" w:rsidP="00C94F93">
      <w:pPr>
        <w:pStyle w:val="Default"/>
        <w:numPr>
          <w:ilvl w:val="1"/>
          <w:numId w:val="12"/>
        </w:numPr>
        <w:spacing w:line="360" w:lineRule="auto"/>
        <w:rPr>
          <w:rFonts w:asciiTheme="minorHAnsi" w:hAnsiTheme="minorHAnsi" w:cstheme="minorHAnsi"/>
          <w:b/>
          <w:bCs/>
          <w:color w:val="auto"/>
          <w:sz w:val="20"/>
          <w:szCs w:val="20"/>
        </w:rPr>
      </w:pPr>
      <w:r w:rsidRPr="004A794F">
        <w:rPr>
          <w:rFonts w:asciiTheme="minorHAnsi" w:hAnsiTheme="minorHAnsi" w:cstheme="minorHAnsi"/>
          <w:b/>
          <w:bCs/>
          <w:color w:val="auto"/>
          <w:sz w:val="20"/>
          <w:szCs w:val="20"/>
        </w:rPr>
        <w:t xml:space="preserve">Performance </w:t>
      </w:r>
      <w:r w:rsidR="00363907" w:rsidRPr="004A794F">
        <w:rPr>
          <w:rFonts w:asciiTheme="minorHAnsi" w:hAnsiTheme="minorHAnsi" w:cstheme="minorHAnsi"/>
          <w:b/>
          <w:bCs/>
          <w:color w:val="auto"/>
          <w:sz w:val="20"/>
          <w:szCs w:val="20"/>
        </w:rPr>
        <w:t>Review and Renewal</w:t>
      </w:r>
      <w:r w:rsidR="00387F3B" w:rsidRPr="004A794F">
        <w:rPr>
          <w:rFonts w:asciiTheme="minorHAnsi" w:hAnsiTheme="minorHAnsi" w:cstheme="minorHAnsi"/>
          <w:b/>
          <w:bCs/>
          <w:color w:val="auto"/>
          <w:sz w:val="20"/>
          <w:szCs w:val="20"/>
        </w:rPr>
        <w:t xml:space="preserve"> process</w:t>
      </w:r>
    </w:p>
    <w:p w14:paraId="510A6547"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Director appointments may be renewed for five-year terms.</w:t>
      </w:r>
    </w:p>
    <w:p w14:paraId="69DE9C07"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All Directors undergo review before the end of their term or earlier at the Dean’s request.</w:t>
      </w:r>
    </w:p>
    <w:p w14:paraId="1F30A0C4"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Performance reviews are based on the responsibilities listed in Section 5.3.</w:t>
      </w:r>
    </w:p>
    <w:p w14:paraId="302EDFBE"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 xml:space="preserve">If a new Director is being appointed during Centre renewal, a </w:t>
      </w:r>
      <w:proofErr w:type="gramStart"/>
      <w:r w:rsidRPr="004A794F">
        <w:rPr>
          <w:rFonts w:cstheme="minorHAnsi"/>
          <w:sz w:val="20"/>
          <w:szCs w:val="20"/>
        </w:rPr>
        <w:t>Director</w:t>
      </w:r>
      <w:proofErr w:type="gramEnd"/>
      <w:r w:rsidRPr="004A794F">
        <w:rPr>
          <w:rFonts w:cstheme="minorHAnsi"/>
          <w:sz w:val="20"/>
          <w:szCs w:val="20"/>
        </w:rPr>
        <w:t xml:space="preserve"> performance review is not required.</w:t>
      </w:r>
    </w:p>
    <w:p w14:paraId="08A40D8D"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The Dean will notify the Director of the review at least six months before the end of term.</w:t>
      </w:r>
    </w:p>
    <w:p w14:paraId="10D479DB"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The Director must submit a renewal application by the specified date.</w:t>
      </w:r>
    </w:p>
    <w:p w14:paraId="7395D397"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The Dean, in consultation with the Associate Dean (Research), will determine whether to renew the Director or request a search for a new Director.</w:t>
      </w:r>
    </w:p>
    <w:p w14:paraId="06EF71AF" w14:textId="77777777" w:rsidR="00EC49F6" w:rsidRPr="004A794F" w:rsidRDefault="00EC49F6" w:rsidP="00C94F93">
      <w:pPr>
        <w:pStyle w:val="ListParagraph"/>
        <w:numPr>
          <w:ilvl w:val="0"/>
          <w:numId w:val="18"/>
        </w:numPr>
        <w:spacing w:after="0" w:line="360" w:lineRule="auto"/>
        <w:rPr>
          <w:rFonts w:cstheme="minorHAnsi"/>
          <w:sz w:val="20"/>
          <w:szCs w:val="20"/>
        </w:rPr>
      </w:pPr>
      <w:r w:rsidRPr="004A794F">
        <w:rPr>
          <w:rFonts w:cstheme="minorHAnsi"/>
          <w:sz w:val="20"/>
          <w:szCs w:val="20"/>
        </w:rPr>
        <w:t>Feedback may be solicited from Department Chairs and Centre members prior to the final decision.</w:t>
      </w:r>
    </w:p>
    <w:p w14:paraId="6D393D2D" w14:textId="77777777" w:rsidR="007822FF" w:rsidRDefault="00EC49F6" w:rsidP="007822FF">
      <w:pPr>
        <w:pStyle w:val="ListParagraph"/>
        <w:numPr>
          <w:ilvl w:val="0"/>
          <w:numId w:val="18"/>
        </w:numPr>
        <w:spacing w:after="0" w:line="360" w:lineRule="auto"/>
        <w:rPr>
          <w:rFonts w:cstheme="minorHAnsi"/>
          <w:sz w:val="20"/>
          <w:szCs w:val="20"/>
        </w:rPr>
      </w:pPr>
      <w:r w:rsidRPr="004A794F">
        <w:rPr>
          <w:rFonts w:cstheme="minorHAnsi"/>
          <w:sz w:val="20"/>
          <w:szCs w:val="20"/>
        </w:rPr>
        <w:t>The Dean will submit the renewal application and recommendation to the VPR.</w:t>
      </w:r>
    </w:p>
    <w:p w14:paraId="3A8C6C4E" w14:textId="2452DA61" w:rsidR="007822FF" w:rsidRDefault="007822FF" w:rsidP="007822FF">
      <w:pPr>
        <w:pStyle w:val="ListParagraph"/>
        <w:numPr>
          <w:ilvl w:val="0"/>
          <w:numId w:val="18"/>
        </w:numPr>
        <w:spacing w:after="0" w:line="360" w:lineRule="auto"/>
        <w:rPr>
          <w:rFonts w:cstheme="minorHAnsi"/>
          <w:sz w:val="20"/>
          <w:szCs w:val="20"/>
        </w:rPr>
      </w:pPr>
      <w:r w:rsidRPr="007822FF">
        <w:rPr>
          <w:rFonts w:cstheme="minorHAnsi"/>
          <w:sz w:val="20"/>
          <w:szCs w:val="20"/>
        </w:rPr>
        <w:t>Director reviews are normally conducted concurrently with the Centre review. When a new Director is appointed, their term will typically be aligned with the Centre’s renewal cycle.</w:t>
      </w:r>
    </w:p>
    <w:p w14:paraId="2D028E27" w14:textId="103E2133" w:rsidR="006D740A" w:rsidRPr="003A64E2" w:rsidRDefault="001B2CD3" w:rsidP="00C94F93">
      <w:pPr>
        <w:pStyle w:val="Default"/>
        <w:numPr>
          <w:ilvl w:val="1"/>
          <w:numId w:val="12"/>
        </w:numPr>
        <w:spacing w:line="360" w:lineRule="auto"/>
        <w:rPr>
          <w:rFonts w:asciiTheme="minorHAnsi" w:hAnsiTheme="minorHAnsi" w:cstheme="minorHAnsi"/>
          <w:sz w:val="20"/>
          <w:szCs w:val="20"/>
        </w:rPr>
      </w:pPr>
      <w:r w:rsidRPr="003A64E2">
        <w:rPr>
          <w:rFonts w:asciiTheme="minorHAnsi" w:hAnsiTheme="minorHAnsi" w:cstheme="minorHAnsi"/>
          <w:b/>
          <w:bCs/>
          <w:color w:val="auto"/>
          <w:sz w:val="20"/>
          <w:szCs w:val="20"/>
        </w:rPr>
        <w:t>Roles and Responsibilities of the Centre Directors</w:t>
      </w:r>
      <w:r w:rsidR="003A64E2" w:rsidRPr="003A64E2">
        <w:rPr>
          <w:rFonts w:asciiTheme="minorHAnsi" w:hAnsiTheme="minorHAnsi" w:cstheme="minorHAnsi"/>
          <w:b/>
          <w:bCs/>
          <w:color w:val="auto"/>
          <w:sz w:val="20"/>
          <w:szCs w:val="20"/>
        </w:rPr>
        <w:t xml:space="preserve">: </w:t>
      </w:r>
      <w:r w:rsidR="006D740A" w:rsidRPr="003A64E2">
        <w:rPr>
          <w:rFonts w:asciiTheme="minorHAnsi" w:hAnsiTheme="minorHAnsi" w:cstheme="minorHAnsi"/>
          <w:sz w:val="20"/>
          <w:szCs w:val="20"/>
        </w:rPr>
        <w:t>Centre Directors report to the Dean of the Faculty of Social Science. Their responsibilities typically include:</w:t>
      </w:r>
    </w:p>
    <w:p w14:paraId="60DF4022" w14:textId="2CDF4DE2"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Providing research and administrative leadership for the Centre.</w:t>
      </w:r>
    </w:p>
    <w:p w14:paraId="6FAC4033" w14:textId="0DBB9A3E"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Supporting interdisciplinary, collaborative research among members.</w:t>
      </w:r>
    </w:p>
    <w:p w14:paraId="3E27DB4A" w14:textId="7118E668"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Building research capacity and identifying internal and external funding opportunities.</w:t>
      </w:r>
    </w:p>
    <w:p w14:paraId="1A147BFA" w14:textId="634C1239"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Supporting training opportunities for students, postdoctoral fellows, and community researchers.</w:t>
      </w:r>
    </w:p>
    <w:p w14:paraId="1EE4F459" w14:textId="78640B04"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Building partnerships with academic, public, and private-sector partners at local, national, and international levels.</w:t>
      </w:r>
    </w:p>
    <w:p w14:paraId="507EBB98" w14:textId="31079163"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Supporting knowledge dissemination and public outreach (e.g., seminars, workshops, publications, website content).</w:t>
      </w:r>
    </w:p>
    <w:p w14:paraId="28EF9814" w14:textId="0A616367"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Supporting the submission and administration of external grants and research contracts associated with the Centre.</w:t>
      </w:r>
    </w:p>
    <w:p w14:paraId="0AA9F349" w14:textId="552F1120"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Overseeing the Centre’s budget and financial activities.</w:t>
      </w:r>
    </w:p>
    <w:p w14:paraId="6667483B" w14:textId="09B0E6FF" w:rsidR="006D740A" w:rsidRPr="004A794F" w:rsidRDefault="006D740A" w:rsidP="00C94F93">
      <w:pPr>
        <w:pStyle w:val="ListParagraph"/>
        <w:numPr>
          <w:ilvl w:val="0"/>
          <w:numId w:val="17"/>
        </w:numPr>
        <w:spacing w:after="0" w:line="360" w:lineRule="auto"/>
        <w:rPr>
          <w:rFonts w:cstheme="minorHAnsi"/>
          <w:sz w:val="20"/>
          <w:szCs w:val="20"/>
        </w:rPr>
      </w:pPr>
      <w:r w:rsidRPr="004A794F">
        <w:rPr>
          <w:rFonts w:cstheme="minorHAnsi"/>
          <w:sz w:val="20"/>
          <w:szCs w:val="20"/>
        </w:rPr>
        <w:t>Working with FSS Communications and Research Officers to promote the Centre’s work.</w:t>
      </w:r>
    </w:p>
    <w:sectPr w:rsidR="006D740A" w:rsidRPr="004A794F" w:rsidSect="003714A6">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F0C7" w14:textId="77777777" w:rsidR="0043044B" w:rsidRDefault="0043044B" w:rsidP="009F6935">
      <w:pPr>
        <w:spacing w:after="0" w:line="240" w:lineRule="auto"/>
      </w:pPr>
      <w:r>
        <w:separator/>
      </w:r>
    </w:p>
  </w:endnote>
  <w:endnote w:type="continuationSeparator" w:id="0">
    <w:p w14:paraId="58517EF2" w14:textId="77777777" w:rsidR="0043044B" w:rsidRDefault="0043044B" w:rsidP="009F6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44A8" w14:textId="77777777" w:rsidR="00665F85" w:rsidRDefault="00665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B5E2" w14:textId="367C6AA6" w:rsidR="00420198" w:rsidRPr="00665F85" w:rsidRDefault="00665F85" w:rsidP="00665F85">
    <w:pPr>
      <w:pStyle w:val="Footer"/>
    </w:pPr>
    <w:r>
      <w:t>Last update: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E0C7" w14:textId="77777777" w:rsidR="00665F85" w:rsidRDefault="0066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AAB7" w14:textId="77777777" w:rsidR="0043044B" w:rsidRDefault="0043044B" w:rsidP="009F6935">
      <w:pPr>
        <w:spacing w:after="0" w:line="240" w:lineRule="auto"/>
      </w:pPr>
      <w:r>
        <w:separator/>
      </w:r>
    </w:p>
  </w:footnote>
  <w:footnote w:type="continuationSeparator" w:id="0">
    <w:p w14:paraId="43F0C351" w14:textId="77777777" w:rsidR="0043044B" w:rsidRDefault="0043044B" w:rsidP="009F6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8D35" w14:textId="77777777" w:rsidR="00665F85" w:rsidRDefault="00665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A449" w14:textId="77777777" w:rsidR="00665F85" w:rsidRDefault="00665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CBA4" w14:textId="77777777" w:rsidR="00665F85" w:rsidRDefault="00665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41C"/>
    <w:multiLevelType w:val="hybridMultilevel"/>
    <w:tmpl w:val="3A86AD66"/>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DD2B74"/>
    <w:multiLevelType w:val="hybridMultilevel"/>
    <w:tmpl w:val="79A64C6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470850"/>
    <w:multiLevelType w:val="hybridMultilevel"/>
    <w:tmpl w:val="05446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357AD"/>
    <w:multiLevelType w:val="multilevel"/>
    <w:tmpl w:val="FA9A9134"/>
    <w:lvl w:ilvl="0">
      <w:start w:val="1"/>
      <w:numFmt w:val="decimal"/>
      <w:pStyle w:val="Heading1"/>
      <w:lvlText w:val="%1"/>
      <w:lvlJc w:val="left"/>
      <w:pPr>
        <w:ind w:left="432" w:hanging="432"/>
      </w:pPr>
      <w:rPr>
        <w:rFonts w:hint="default"/>
      </w:rPr>
    </w:lvl>
    <w:lvl w:ilvl="1">
      <w:start w:val="1"/>
      <w:numFmt w:val="lowerLetter"/>
      <w:pStyle w:val="Heading2"/>
      <w:lvlText w:val="%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35E3E40"/>
    <w:multiLevelType w:val="hybridMultilevel"/>
    <w:tmpl w:val="D2A21C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0376EC"/>
    <w:multiLevelType w:val="multilevel"/>
    <w:tmpl w:val="0AACA7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D93416"/>
    <w:multiLevelType w:val="hybridMultilevel"/>
    <w:tmpl w:val="C8D64F5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18297E"/>
    <w:multiLevelType w:val="hybridMultilevel"/>
    <w:tmpl w:val="88687B5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F9936CB"/>
    <w:multiLevelType w:val="multilevel"/>
    <w:tmpl w:val="D1BCA5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A1533C"/>
    <w:multiLevelType w:val="hybridMultilevel"/>
    <w:tmpl w:val="4EC65550"/>
    <w:lvl w:ilvl="0" w:tplc="5C2A4A64">
      <w:start w:val="1"/>
      <w:numFmt w:val="lowerLetter"/>
      <w:lvlText w:val="%1)"/>
      <w:lvlJc w:val="left"/>
      <w:pPr>
        <w:ind w:left="360" w:hanging="360"/>
      </w:pPr>
      <w:rPr>
        <w:b w:val="0"/>
        <w:bCs w:val="0"/>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45B4877"/>
    <w:multiLevelType w:val="hybridMultilevel"/>
    <w:tmpl w:val="FFD890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1532D1"/>
    <w:multiLevelType w:val="hybridMultilevel"/>
    <w:tmpl w:val="C8D64F5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93727F"/>
    <w:multiLevelType w:val="hybridMultilevel"/>
    <w:tmpl w:val="FFD890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1022E0"/>
    <w:multiLevelType w:val="hybridMultilevel"/>
    <w:tmpl w:val="D2A21C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9DE11CF"/>
    <w:multiLevelType w:val="hybridMultilevel"/>
    <w:tmpl w:val="C86429F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D882F07"/>
    <w:multiLevelType w:val="hybridMultilevel"/>
    <w:tmpl w:val="FFD890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9A725C"/>
    <w:multiLevelType w:val="multilevel"/>
    <w:tmpl w:val="584EFAA0"/>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79546ACC"/>
    <w:multiLevelType w:val="multilevel"/>
    <w:tmpl w:val="E160D8C0"/>
    <w:lvl w:ilvl="0">
      <w:start w:val="5"/>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15:restartNumberingAfterBreak="0">
    <w:nsid w:val="79882307"/>
    <w:multiLevelType w:val="multilevel"/>
    <w:tmpl w:val="D9645BAC"/>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77040935">
    <w:abstractNumId w:val="3"/>
  </w:num>
  <w:num w:numId="2" w16cid:durableId="1784301284">
    <w:abstractNumId w:val="0"/>
  </w:num>
  <w:num w:numId="3" w16cid:durableId="378289404">
    <w:abstractNumId w:val="8"/>
  </w:num>
  <w:num w:numId="4" w16cid:durableId="1520503224">
    <w:abstractNumId w:val="9"/>
  </w:num>
  <w:num w:numId="5" w16cid:durableId="991253511">
    <w:abstractNumId w:val="14"/>
  </w:num>
  <w:num w:numId="6" w16cid:durableId="1169711126">
    <w:abstractNumId w:val="7"/>
  </w:num>
  <w:num w:numId="7" w16cid:durableId="551039834">
    <w:abstractNumId w:val="4"/>
  </w:num>
  <w:num w:numId="8" w16cid:durableId="859121895">
    <w:abstractNumId w:val="1"/>
  </w:num>
  <w:num w:numId="9" w16cid:durableId="338511187">
    <w:abstractNumId w:val="13"/>
  </w:num>
  <w:num w:numId="10" w16cid:durableId="821966504">
    <w:abstractNumId w:val="5"/>
  </w:num>
  <w:num w:numId="11" w16cid:durableId="946036968">
    <w:abstractNumId w:val="17"/>
  </w:num>
  <w:num w:numId="12" w16cid:durableId="2000576426">
    <w:abstractNumId w:val="16"/>
  </w:num>
  <w:num w:numId="13" w16cid:durableId="1116602524">
    <w:abstractNumId w:val="6"/>
  </w:num>
  <w:num w:numId="14" w16cid:durableId="1099372505">
    <w:abstractNumId w:val="18"/>
  </w:num>
  <w:num w:numId="15" w16cid:durableId="702250851">
    <w:abstractNumId w:val="2"/>
  </w:num>
  <w:num w:numId="16" w16cid:durableId="788151">
    <w:abstractNumId w:val="10"/>
  </w:num>
  <w:num w:numId="17" w16cid:durableId="994648889">
    <w:abstractNumId w:val="12"/>
  </w:num>
  <w:num w:numId="18" w16cid:durableId="1751267413">
    <w:abstractNumId w:val="15"/>
  </w:num>
  <w:num w:numId="19" w16cid:durableId="17610993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55"/>
    <w:rsid w:val="00001632"/>
    <w:rsid w:val="00002143"/>
    <w:rsid w:val="0000770F"/>
    <w:rsid w:val="00007A50"/>
    <w:rsid w:val="00012065"/>
    <w:rsid w:val="000143E2"/>
    <w:rsid w:val="000226BB"/>
    <w:rsid w:val="00024B58"/>
    <w:rsid w:val="000412C6"/>
    <w:rsid w:val="00044371"/>
    <w:rsid w:val="0005056D"/>
    <w:rsid w:val="000534C2"/>
    <w:rsid w:val="00055A88"/>
    <w:rsid w:val="00055BEC"/>
    <w:rsid w:val="0006012E"/>
    <w:rsid w:val="00095A67"/>
    <w:rsid w:val="000A6584"/>
    <w:rsid w:val="000A6E05"/>
    <w:rsid w:val="000B0502"/>
    <w:rsid w:val="000C082A"/>
    <w:rsid w:val="000C7A7A"/>
    <w:rsid w:val="000D22E2"/>
    <w:rsid w:val="000D252A"/>
    <w:rsid w:val="000D2A59"/>
    <w:rsid w:val="000D560A"/>
    <w:rsid w:val="000D5F28"/>
    <w:rsid w:val="000E0785"/>
    <w:rsid w:val="000E142A"/>
    <w:rsid w:val="000E2578"/>
    <w:rsid w:val="000F06E7"/>
    <w:rsid w:val="000F22A9"/>
    <w:rsid w:val="000F2C15"/>
    <w:rsid w:val="000F595D"/>
    <w:rsid w:val="0011048E"/>
    <w:rsid w:val="00111CE6"/>
    <w:rsid w:val="00120097"/>
    <w:rsid w:val="001219A5"/>
    <w:rsid w:val="001277F7"/>
    <w:rsid w:val="00132062"/>
    <w:rsid w:val="0013601A"/>
    <w:rsid w:val="00140320"/>
    <w:rsid w:val="00142B76"/>
    <w:rsid w:val="001452F7"/>
    <w:rsid w:val="0014545D"/>
    <w:rsid w:val="001521F0"/>
    <w:rsid w:val="0015625F"/>
    <w:rsid w:val="0016152F"/>
    <w:rsid w:val="0016406A"/>
    <w:rsid w:val="001677FA"/>
    <w:rsid w:val="00167FE3"/>
    <w:rsid w:val="00171759"/>
    <w:rsid w:val="0018308F"/>
    <w:rsid w:val="00191684"/>
    <w:rsid w:val="00191D08"/>
    <w:rsid w:val="001922F7"/>
    <w:rsid w:val="001932C9"/>
    <w:rsid w:val="00196DB3"/>
    <w:rsid w:val="001A41A5"/>
    <w:rsid w:val="001B00BB"/>
    <w:rsid w:val="001B2CD3"/>
    <w:rsid w:val="001B35B2"/>
    <w:rsid w:val="001B5A9F"/>
    <w:rsid w:val="001C19F0"/>
    <w:rsid w:val="001D1E6E"/>
    <w:rsid w:val="001E4378"/>
    <w:rsid w:val="001E6061"/>
    <w:rsid w:val="001E745F"/>
    <w:rsid w:val="001F4439"/>
    <w:rsid w:val="00202AD8"/>
    <w:rsid w:val="002060D4"/>
    <w:rsid w:val="00207EFD"/>
    <w:rsid w:val="00212A11"/>
    <w:rsid w:val="00214919"/>
    <w:rsid w:val="00214BB2"/>
    <w:rsid w:val="002161EA"/>
    <w:rsid w:val="002225D6"/>
    <w:rsid w:val="0022297D"/>
    <w:rsid w:val="002254F6"/>
    <w:rsid w:val="002257E0"/>
    <w:rsid w:val="00227AC3"/>
    <w:rsid w:val="002504C4"/>
    <w:rsid w:val="00252CAB"/>
    <w:rsid w:val="002561F8"/>
    <w:rsid w:val="00260170"/>
    <w:rsid w:val="00260513"/>
    <w:rsid w:val="00260788"/>
    <w:rsid w:val="00262353"/>
    <w:rsid w:val="00265249"/>
    <w:rsid w:val="00267131"/>
    <w:rsid w:val="002775AD"/>
    <w:rsid w:val="00282664"/>
    <w:rsid w:val="00283FF0"/>
    <w:rsid w:val="00294D77"/>
    <w:rsid w:val="00296843"/>
    <w:rsid w:val="00296CE4"/>
    <w:rsid w:val="00296F60"/>
    <w:rsid w:val="002A1F7A"/>
    <w:rsid w:val="002A41AA"/>
    <w:rsid w:val="002B4FFE"/>
    <w:rsid w:val="002C2733"/>
    <w:rsid w:val="002D5978"/>
    <w:rsid w:val="002D600F"/>
    <w:rsid w:val="002F2C3D"/>
    <w:rsid w:val="002F7FFC"/>
    <w:rsid w:val="00301523"/>
    <w:rsid w:val="003142DB"/>
    <w:rsid w:val="00320804"/>
    <w:rsid w:val="003319B4"/>
    <w:rsid w:val="00332338"/>
    <w:rsid w:val="00332475"/>
    <w:rsid w:val="00340E4A"/>
    <w:rsid w:val="003416E3"/>
    <w:rsid w:val="00346563"/>
    <w:rsid w:val="003510D9"/>
    <w:rsid w:val="003633EB"/>
    <w:rsid w:val="00363907"/>
    <w:rsid w:val="00365D31"/>
    <w:rsid w:val="003714A6"/>
    <w:rsid w:val="003716E6"/>
    <w:rsid w:val="00371BD6"/>
    <w:rsid w:val="00372BD0"/>
    <w:rsid w:val="00373D14"/>
    <w:rsid w:val="00376443"/>
    <w:rsid w:val="003870B1"/>
    <w:rsid w:val="00387F3B"/>
    <w:rsid w:val="00395177"/>
    <w:rsid w:val="003A64E2"/>
    <w:rsid w:val="003A65EC"/>
    <w:rsid w:val="003A6CFF"/>
    <w:rsid w:val="003C090D"/>
    <w:rsid w:val="003F0477"/>
    <w:rsid w:val="003F07CB"/>
    <w:rsid w:val="003F7BAF"/>
    <w:rsid w:val="00400D37"/>
    <w:rsid w:val="00405213"/>
    <w:rsid w:val="00406194"/>
    <w:rsid w:val="00410920"/>
    <w:rsid w:val="00411431"/>
    <w:rsid w:val="00414FEF"/>
    <w:rsid w:val="00417F87"/>
    <w:rsid w:val="00420198"/>
    <w:rsid w:val="004203FB"/>
    <w:rsid w:val="0043044B"/>
    <w:rsid w:val="004323B1"/>
    <w:rsid w:val="00437732"/>
    <w:rsid w:val="00440291"/>
    <w:rsid w:val="00440D4B"/>
    <w:rsid w:val="00443609"/>
    <w:rsid w:val="00445783"/>
    <w:rsid w:val="00446861"/>
    <w:rsid w:val="00451876"/>
    <w:rsid w:val="004543BF"/>
    <w:rsid w:val="00461496"/>
    <w:rsid w:val="00473425"/>
    <w:rsid w:val="00480D4C"/>
    <w:rsid w:val="00486929"/>
    <w:rsid w:val="004955C4"/>
    <w:rsid w:val="0049612B"/>
    <w:rsid w:val="004A02A9"/>
    <w:rsid w:val="004A28C5"/>
    <w:rsid w:val="004A655B"/>
    <w:rsid w:val="004A6751"/>
    <w:rsid w:val="004A7887"/>
    <w:rsid w:val="004A794F"/>
    <w:rsid w:val="004B109D"/>
    <w:rsid w:val="004B370D"/>
    <w:rsid w:val="004D12ED"/>
    <w:rsid w:val="004D267A"/>
    <w:rsid w:val="004D3916"/>
    <w:rsid w:val="004F30D7"/>
    <w:rsid w:val="00500D08"/>
    <w:rsid w:val="0050673C"/>
    <w:rsid w:val="005115B1"/>
    <w:rsid w:val="0051315E"/>
    <w:rsid w:val="005143B8"/>
    <w:rsid w:val="00515561"/>
    <w:rsid w:val="005236E1"/>
    <w:rsid w:val="005279F6"/>
    <w:rsid w:val="0053029E"/>
    <w:rsid w:val="00536ADF"/>
    <w:rsid w:val="00544779"/>
    <w:rsid w:val="00544D9D"/>
    <w:rsid w:val="00553940"/>
    <w:rsid w:val="00557AAD"/>
    <w:rsid w:val="005614C2"/>
    <w:rsid w:val="00563487"/>
    <w:rsid w:val="00573B61"/>
    <w:rsid w:val="005747B0"/>
    <w:rsid w:val="005770F8"/>
    <w:rsid w:val="005775ED"/>
    <w:rsid w:val="00582CAF"/>
    <w:rsid w:val="00586BA3"/>
    <w:rsid w:val="00590B57"/>
    <w:rsid w:val="00592F4F"/>
    <w:rsid w:val="00594271"/>
    <w:rsid w:val="005A0B54"/>
    <w:rsid w:val="005A19EF"/>
    <w:rsid w:val="005A71D8"/>
    <w:rsid w:val="005C01B0"/>
    <w:rsid w:val="005D05BC"/>
    <w:rsid w:val="005D492E"/>
    <w:rsid w:val="005D5211"/>
    <w:rsid w:val="005D55EA"/>
    <w:rsid w:val="005D73A1"/>
    <w:rsid w:val="005E0CAB"/>
    <w:rsid w:val="005F0F93"/>
    <w:rsid w:val="00603702"/>
    <w:rsid w:val="0060531D"/>
    <w:rsid w:val="00612A81"/>
    <w:rsid w:val="00613A3E"/>
    <w:rsid w:val="00617D83"/>
    <w:rsid w:val="00620813"/>
    <w:rsid w:val="00620C9C"/>
    <w:rsid w:val="0063259E"/>
    <w:rsid w:val="00632778"/>
    <w:rsid w:val="00632C26"/>
    <w:rsid w:val="00640B99"/>
    <w:rsid w:val="0064178A"/>
    <w:rsid w:val="00665F85"/>
    <w:rsid w:val="00670A4B"/>
    <w:rsid w:val="006735C1"/>
    <w:rsid w:val="00680C45"/>
    <w:rsid w:val="00682568"/>
    <w:rsid w:val="006A4EB3"/>
    <w:rsid w:val="006A55FE"/>
    <w:rsid w:val="006D0242"/>
    <w:rsid w:val="006D383D"/>
    <w:rsid w:val="006D4087"/>
    <w:rsid w:val="006D740A"/>
    <w:rsid w:val="006E3DF3"/>
    <w:rsid w:val="006E3FD8"/>
    <w:rsid w:val="006E4AF4"/>
    <w:rsid w:val="006E712A"/>
    <w:rsid w:val="006E75D1"/>
    <w:rsid w:val="006F75A5"/>
    <w:rsid w:val="0070244C"/>
    <w:rsid w:val="0070531D"/>
    <w:rsid w:val="007112F5"/>
    <w:rsid w:val="007149AC"/>
    <w:rsid w:val="007213B9"/>
    <w:rsid w:val="00730E99"/>
    <w:rsid w:val="00732BD5"/>
    <w:rsid w:val="007374CF"/>
    <w:rsid w:val="00742EAB"/>
    <w:rsid w:val="007628A7"/>
    <w:rsid w:val="00770347"/>
    <w:rsid w:val="007708FC"/>
    <w:rsid w:val="007822FF"/>
    <w:rsid w:val="007837AE"/>
    <w:rsid w:val="00791847"/>
    <w:rsid w:val="0079700B"/>
    <w:rsid w:val="007A2C1E"/>
    <w:rsid w:val="007B4347"/>
    <w:rsid w:val="007B450A"/>
    <w:rsid w:val="007B4F78"/>
    <w:rsid w:val="007B7036"/>
    <w:rsid w:val="007C0646"/>
    <w:rsid w:val="007C06AD"/>
    <w:rsid w:val="007C0909"/>
    <w:rsid w:val="007C20E8"/>
    <w:rsid w:val="007D7B01"/>
    <w:rsid w:val="007E1054"/>
    <w:rsid w:val="007F643F"/>
    <w:rsid w:val="00800676"/>
    <w:rsid w:val="00814BD4"/>
    <w:rsid w:val="00823111"/>
    <w:rsid w:val="00824C44"/>
    <w:rsid w:val="00831D90"/>
    <w:rsid w:val="00832961"/>
    <w:rsid w:val="00836093"/>
    <w:rsid w:val="00837C3E"/>
    <w:rsid w:val="008417B9"/>
    <w:rsid w:val="00841CCC"/>
    <w:rsid w:val="008425AA"/>
    <w:rsid w:val="008426D2"/>
    <w:rsid w:val="00853BDB"/>
    <w:rsid w:val="00857424"/>
    <w:rsid w:val="00864803"/>
    <w:rsid w:val="008660E1"/>
    <w:rsid w:val="00871A8A"/>
    <w:rsid w:val="0087279D"/>
    <w:rsid w:val="00872F05"/>
    <w:rsid w:val="00873AF9"/>
    <w:rsid w:val="008774CF"/>
    <w:rsid w:val="0088212E"/>
    <w:rsid w:val="008875A5"/>
    <w:rsid w:val="00890EB3"/>
    <w:rsid w:val="00896178"/>
    <w:rsid w:val="008A5551"/>
    <w:rsid w:val="008A6A2E"/>
    <w:rsid w:val="008A79C2"/>
    <w:rsid w:val="008B5769"/>
    <w:rsid w:val="008C37BE"/>
    <w:rsid w:val="008E6631"/>
    <w:rsid w:val="00902E0F"/>
    <w:rsid w:val="00904015"/>
    <w:rsid w:val="00904992"/>
    <w:rsid w:val="009114F5"/>
    <w:rsid w:val="0091223C"/>
    <w:rsid w:val="009130A7"/>
    <w:rsid w:val="00914F87"/>
    <w:rsid w:val="00915D2D"/>
    <w:rsid w:val="00923F8A"/>
    <w:rsid w:val="00925D61"/>
    <w:rsid w:val="0093182B"/>
    <w:rsid w:val="00935685"/>
    <w:rsid w:val="00940690"/>
    <w:rsid w:val="00943746"/>
    <w:rsid w:val="00952F26"/>
    <w:rsid w:val="009538D7"/>
    <w:rsid w:val="0096225D"/>
    <w:rsid w:val="00964DEA"/>
    <w:rsid w:val="00976DEA"/>
    <w:rsid w:val="009843B1"/>
    <w:rsid w:val="009901B5"/>
    <w:rsid w:val="00994C95"/>
    <w:rsid w:val="009B245B"/>
    <w:rsid w:val="009B308D"/>
    <w:rsid w:val="009B585C"/>
    <w:rsid w:val="009D0208"/>
    <w:rsid w:val="009D4014"/>
    <w:rsid w:val="009D4D87"/>
    <w:rsid w:val="009D5DB9"/>
    <w:rsid w:val="009E254E"/>
    <w:rsid w:val="009F1D0D"/>
    <w:rsid w:val="009F631F"/>
    <w:rsid w:val="009F6935"/>
    <w:rsid w:val="00A028A6"/>
    <w:rsid w:val="00A0507F"/>
    <w:rsid w:val="00A0644E"/>
    <w:rsid w:val="00A066AB"/>
    <w:rsid w:val="00A23118"/>
    <w:rsid w:val="00A30CEE"/>
    <w:rsid w:val="00A350FA"/>
    <w:rsid w:val="00A35955"/>
    <w:rsid w:val="00A4226F"/>
    <w:rsid w:val="00A45D58"/>
    <w:rsid w:val="00A47DDD"/>
    <w:rsid w:val="00A53489"/>
    <w:rsid w:val="00A536C9"/>
    <w:rsid w:val="00A55962"/>
    <w:rsid w:val="00A63024"/>
    <w:rsid w:val="00A65EE9"/>
    <w:rsid w:val="00A665F3"/>
    <w:rsid w:val="00A721C7"/>
    <w:rsid w:val="00A731FF"/>
    <w:rsid w:val="00A81594"/>
    <w:rsid w:val="00A82BF4"/>
    <w:rsid w:val="00A93D7C"/>
    <w:rsid w:val="00A95308"/>
    <w:rsid w:val="00A96B5F"/>
    <w:rsid w:val="00AA0156"/>
    <w:rsid w:val="00AA2424"/>
    <w:rsid w:val="00AA4DB1"/>
    <w:rsid w:val="00AA649E"/>
    <w:rsid w:val="00AB0093"/>
    <w:rsid w:val="00AB3B12"/>
    <w:rsid w:val="00AC0AA4"/>
    <w:rsid w:val="00AC1760"/>
    <w:rsid w:val="00AC25E8"/>
    <w:rsid w:val="00AC6493"/>
    <w:rsid w:val="00AC6D37"/>
    <w:rsid w:val="00AD5981"/>
    <w:rsid w:val="00AF285D"/>
    <w:rsid w:val="00AF5F4F"/>
    <w:rsid w:val="00AF76AF"/>
    <w:rsid w:val="00B02679"/>
    <w:rsid w:val="00B06BAF"/>
    <w:rsid w:val="00B35F18"/>
    <w:rsid w:val="00B40CB7"/>
    <w:rsid w:val="00B42E6C"/>
    <w:rsid w:val="00B43520"/>
    <w:rsid w:val="00B43E9C"/>
    <w:rsid w:val="00B578C4"/>
    <w:rsid w:val="00B72832"/>
    <w:rsid w:val="00B76B9C"/>
    <w:rsid w:val="00B8065D"/>
    <w:rsid w:val="00B81809"/>
    <w:rsid w:val="00B844AA"/>
    <w:rsid w:val="00B84AB5"/>
    <w:rsid w:val="00B860F6"/>
    <w:rsid w:val="00B9324C"/>
    <w:rsid w:val="00B96471"/>
    <w:rsid w:val="00B964D2"/>
    <w:rsid w:val="00BA01D2"/>
    <w:rsid w:val="00BA0E05"/>
    <w:rsid w:val="00BB0706"/>
    <w:rsid w:val="00BB148C"/>
    <w:rsid w:val="00BB2454"/>
    <w:rsid w:val="00BB78F0"/>
    <w:rsid w:val="00BC2470"/>
    <w:rsid w:val="00BD2241"/>
    <w:rsid w:val="00BD3245"/>
    <w:rsid w:val="00BD3F90"/>
    <w:rsid w:val="00BD4E06"/>
    <w:rsid w:val="00BD4E27"/>
    <w:rsid w:val="00BE46A8"/>
    <w:rsid w:val="00BE477D"/>
    <w:rsid w:val="00BF1128"/>
    <w:rsid w:val="00BF38C7"/>
    <w:rsid w:val="00BF7463"/>
    <w:rsid w:val="00C04D96"/>
    <w:rsid w:val="00C0563A"/>
    <w:rsid w:val="00C05EA7"/>
    <w:rsid w:val="00C12014"/>
    <w:rsid w:val="00C13590"/>
    <w:rsid w:val="00C21C78"/>
    <w:rsid w:val="00C26F8B"/>
    <w:rsid w:val="00C33873"/>
    <w:rsid w:val="00C37C8F"/>
    <w:rsid w:val="00C445CB"/>
    <w:rsid w:val="00C455C9"/>
    <w:rsid w:val="00C47118"/>
    <w:rsid w:val="00C527BE"/>
    <w:rsid w:val="00C5424A"/>
    <w:rsid w:val="00C5716B"/>
    <w:rsid w:val="00C57FC0"/>
    <w:rsid w:val="00C63776"/>
    <w:rsid w:val="00C640FA"/>
    <w:rsid w:val="00C668F2"/>
    <w:rsid w:val="00C70760"/>
    <w:rsid w:val="00C715B4"/>
    <w:rsid w:val="00C72D90"/>
    <w:rsid w:val="00C84BB1"/>
    <w:rsid w:val="00C904CE"/>
    <w:rsid w:val="00C92305"/>
    <w:rsid w:val="00C94F93"/>
    <w:rsid w:val="00C97E0C"/>
    <w:rsid w:val="00CA717A"/>
    <w:rsid w:val="00CA7D20"/>
    <w:rsid w:val="00CB262B"/>
    <w:rsid w:val="00CB47F0"/>
    <w:rsid w:val="00CC3D85"/>
    <w:rsid w:val="00CC5C56"/>
    <w:rsid w:val="00CC698B"/>
    <w:rsid w:val="00CC7459"/>
    <w:rsid w:val="00CE2286"/>
    <w:rsid w:val="00CF11AE"/>
    <w:rsid w:val="00CF7CF7"/>
    <w:rsid w:val="00D108ED"/>
    <w:rsid w:val="00D232B7"/>
    <w:rsid w:val="00D23A5A"/>
    <w:rsid w:val="00D27BA4"/>
    <w:rsid w:val="00D30680"/>
    <w:rsid w:val="00D3101B"/>
    <w:rsid w:val="00D3376D"/>
    <w:rsid w:val="00D34CE0"/>
    <w:rsid w:val="00D47A68"/>
    <w:rsid w:val="00D542B8"/>
    <w:rsid w:val="00D543F1"/>
    <w:rsid w:val="00D56E94"/>
    <w:rsid w:val="00D60CE2"/>
    <w:rsid w:val="00D65F70"/>
    <w:rsid w:val="00D7174B"/>
    <w:rsid w:val="00D7409E"/>
    <w:rsid w:val="00D7767A"/>
    <w:rsid w:val="00D800A6"/>
    <w:rsid w:val="00D86678"/>
    <w:rsid w:val="00D94D74"/>
    <w:rsid w:val="00DA3EE4"/>
    <w:rsid w:val="00DA4037"/>
    <w:rsid w:val="00DB1C28"/>
    <w:rsid w:val="00DC7DCA"/>
    <w:rsid w:val="00DD1EF0"/>
    <w:rsid w:val="00DD22EF"/>
    <w:rsid w:val="00DD2477"/>
    <w:rsid w:val="00DD2891"/>
    <w:rsid w:val="00DD65A4"/>
    <w:rsid w:val="00DE3E1C"/>
    <w:rsid w:val="00DE4673"/>
    <w:rsid w:val="00DE6E7B"/>
    <w:rsid w:val="00DE72A9"/>
    <w:rsid w:val="00DE7727"/>
    <w:rsid w:val="00DF7BBC"/>
    <w:rsid w:val="00E01646"/>
    <w:rsid w:val="00E03B62"/>
    <w:rsid w:val="00E21691"/>
    <w:rsid w:val="00E227E7"/>
    <w:rsid w:val="00E24576"/>
    <w:rsid w:val="00E36DBF"/>
    <w:rsid w:val="00E45F0E"/>
    <w:rsid w:val="00E65AD9"/>
    <w:rsid w:val="00E72F31"/>
    <w:rsid w:val="00E7601B"/>
    <w:rsid w:val="00E76CB2"/>
    <w:rsid w:val="00E805CC"/>
    <w:rsid w:val="00E81056"/>
    <w:rsid w:val="00E8755F"/>
    <w:rsid w:val="00E96AD3"/>
    <w:rsid w:val="00EA0C50"/>
    <w:rsid w:val="00EA13FC"/>
    <w:rsid w:val="00EB18EE"/>
    <w:rsid w:val="00EB290A"/>
    <w:rsid w:val="00EB536D"/>
    <w:rsid w:val="00EB63E5"/>
    <w:rsid w:val="00EB6A36"/>
    <w:rsid w:val="00EC3BA3"/>
    <w:rsid w:val="00EC49F6"/>
    <w:rsid w:val="00EC5577"/>
    <w:rsid w:val="00EC73DB"/>
    <w:rsid w:val="00ED4BFD"/>
    <w:rsid w:val="00EE248A"/>
    <w:rsid w:val="00EE4A77"/>
    <w:rsid w:val="00EE508D"/>
    <w:rsid w:val="00EE7100"/>
    <w:rsid w:val="00EF1818"/>
    <w:rsid w:val="00EF4661"/>
    <w:rsid w:val="00F04A07"/>
    <w:rsid w:val="00F06C72"/>
    <w:rsid w:val="00F1131D"/>
    <w:rsid w:val="00F13AD1"/>
    <w:rsid w:val="00F14943"/>
    <w:rsid w:val="00F1659D"/>
    <w:rsid w:val="00F2055C"/>
    <w:rsid w:val="00F215B5"/>
    <w:rsid w:val="00F24F9A"/>
    <w:rsid w:val="00F27B87"/>
    <w:rsid w:val="00F31885"/>
    <w:rsid w:val="00F67732"/>
    <w:rsid w:val="00F70057"/>
    <w:rsid w:val="00F71D5F"/>
    <w:rsid w:val="00F81A8C"/>
    <w:rsid w:val="00F83F86"/>
    <w:rsid w:val="00F875D7"/>
    <w:rsid w:val="00F903D6"/>
    <w:rsid w:val="00F90494"/>
    <w:rsid w:val="00F930C3"/>
    <w:rsid w:val="00F93D25"/>
    <w:rsid w:val="00F946BE"/>
    <w:rsid w:val="00F94EDA"/>
    <w:rsid w:val="00F95BC0"/>
    <w:rsid w:val="00FA24A6"/>
    <w:rsid w:val="00FB0B80"/>
    <w:rsid w:val="00FB24D2"/>
    <w:rsid w:val="00FC0383"/>
    <w:rsid w:val="00FC2DE9"/>
    <w:rsid w:val="00FC3895"/>
    <w:rsid w:val="00FD010D"/>
    <w:rsid w:val="00FD0A7C"/>
    <w:rsid w:val="00FD17A9"/>
    <w:rsid w:val="00FD1E79"/>
    <w:rsid w:val="00FD6DBA"/>
    <w:rsid w:val="00FE16CE"/>
    <w:rsid w:val="00FF300C"/>
    <w:rsid w:val="00FF59DE"/>
    <w:rsid w:val="00FF652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9333"/>
  <w15:chartTrackingRefBased/>
  <w15:docId w15:val="{FED57E5B-ED34-488D-871D-92B2D30B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5FE"/>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E2286"/>
    <w:pPr>
      <w:numPr>
        <w:ilvl w:val="1"/>
        <w:numId w:val="1"/>
      </w:num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unhideWhenUsed/>
    <w:qFormat/>
    <w:rsid w:val="006A55FE"/>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A55FE"/>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A55F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A55F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A55F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A55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55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55"/>
    <w:pPr>
      <w:ind w:left="720"/>
      <w:contextualSpacing/>
    </w:pPr>
  </w:style>
  <w:style w:type="character" w:styleId="Hyperlink">
    <w:name w:val="Hyperlink"/>
    <w:basedOn w:val="DefaultParagraphFont"/>
    <w:uiPriority w:val="99"/>
    <w:unhideWhenUsed/>
    <w:rsid w:val="004A02A9"/>
    <w:rPr>
      <w:color w:val="0563C1" w:themeColor="hyperlink"/>
      <w:u w:val="single"/>
    </w:rPr>
  </w:style>
  <w:style w:type="paragraph" w:customStyle="1" w:styleId="Default">
    <w:name w:val="Default"/>
    <w:rsid w:val="00DE72A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E2286"/>
    <w:rPr>
      <w:rFonts w:ascii="Times New Roman" w:eastAsia="Times New Roman" w:hAnsi="Times New Roman" w:cs="Times New Roman"/>
      <w:b/>
      <w:bCs/>
      <w:sz w:val="36"/>
      <w:szCs w:val="36"/>
      <w:lang w:eastAsia="en-CA"/>
    </w:rPr>
  </w:style>
  <w:style w:type="paragraph" w:styleId="BalloonText">
    <w:name w:val="Balloon Text"/>
    <w:basedOn w:val="Normal"/>
    <w:link w:val="BalloonTextChar"/>
    <w:uiPriority w:val="99"/>
    <w:semiHidden/>
    <w:unhideWhenUsed/>
    <w:rsid w:val="00AC6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D37"/>
    <w:rPr>
      <w:rFonts w:ascii="Segoe UI" w:hAnsi="Segoe UI" w:cs="Segoe UI"/>
      <w:sz w:val="18"/>
      <w:szCs w:val="18"/>
    </w:rPr>
  </w:style>
  <w:style w:type="character" w:styleId="CommentReference">
    <w:name w:val="annotation reference"/>
    <w:basedOn w:val="DefaultParagraphFont"/>
    <w:uiPriority w:val="99"/>
    <w:semiHidden/>
    <w:unhideWhenUsed/>
    <w:rsid w:val="00BA01D2"/>
    <w:rPr>
      <w:sz w:val="16"/>
      <w:szCs w:val="16"/>
    </w:rPr>
  </w:style>
  <w:style w:type="paragraph" w:styleId="CommentText">
    <w:name w:val="annotation text"/>
    <w:basedOn w:val="Normal"/>
    <w:link w:val="CommentTextChar"/>
    <w:uiPriority w:val="99"/>
    <w:semiHidden/>
    <w:unhideWhenUsed/>
    <w:rsid w:val="00BA01D2"/>
    <w:pPr>
      <w:spacing w:line="240" w:lineRule="auto"/>
    </w:pPr>
    <w:rPr>
      <w:sz w:val="20"/>
      <w:szCs w:val="20"/>
    </w:rPr>
  </w:style>
  <w:style w:type="character" w:customStyle="1" w:styleId="CommentTextChar">
    <w:name w:val="Comment Text Char"/>
    <w:basedOn w:val="DefaultParagraphFont"/>
    <w:link w:val="CommentText"/>
    <w:uiPriority w:val="99"/>
    <w:semiHidden/>
    <w:rsid w:val="00BA01D2"/>
    <w:rPr>
      <w:sz w:val="20"/>
      <w:szCs w:val="20"/>
    </w:rPr>
  </w:style>
  <w:style w:type="paragraph" w:styleId="CommentSubject">
    <w:name w:val="annotation subject"/>
    <w:basedOn w:val="CommentText"/>
    <w:next w:val="CommentText"/>
    <w:link w:val="CommentSubjectChar"/>
    <w:uiPriority w:val="99"/>
    <w:semiHidden/>
    <w:unhideWhenUsed/>
    <w:rsid w:val="00BA01D2"/>
    <w:rPr>
      <w:b/>
      <w:bCs/>
    </w:rPr>
  </w:style>
  <w:style w:type="character" w:customStyle="1" w:styleId="CommentSubjectChar">
    <w:name w:val="Comment Subject Char"/>
    <w:basedOn w:val="CommentTextChar"/>
    <w:link w:val="CommentSubject"/>
    <w:uiPriority w:val="99"/>
    <w:semiHidden/>
    <w:rsid w:val="00BA01D2"/>
    <w:rPr>
      <w:b/>
      <w:bCs/>
      <w:sz w:val="20"/>
      <w:szCs w:val="20"/>
    </w:rPr>
  </w:style>
  <w:style w:type="paragraph" w:styleId="Header">
    <w:name w:val="header"/>
    <w:basedOn w:val="Normal"/>
    <w:link w:val="HeaderChar"/>
    <w:uiPriority w:val="99"/>
    <w:unhideWhenUsed/>
    <w:rsid w:val="009F6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935"/>
  </w:style>
  <w:style w:type="paragraph" w:styleId="Footer">
    <w:name w:val="footer"/>
    <w:basedOn w:val="Normal"/>
    <w:link w:val="FooterChar"/>
    <w:uiPriority w:val="99"/>
    <w:unhideWhenUsed/>
    <w:rsid w:val="009F6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935"/>
  </w:style>
  <w:style w:type="table" w:styleId="TableGrid">
    <w:name w:val="Table Grid"/>
    <w:basedOn w:val="TableNormal"/>
    <w:uiPriority w:val="39"/>
    <w:rsid w:val="000F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55F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A55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A55F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6A55F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6A55F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A55F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A55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55FE"/>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800676"/>
    <w:pPr>
      <w:spacing w:after="0" w:line="240" w:lineRule="auto"/>
    </w:pPr>
  </w:style>
  <w:style w:type="character" w:styleId="UnresolvedMention">
    <w:name w:val="Unresolved Mention"/>
    <w:basedOn w:val="DefaultParagraphFont"/>
    <w:uiPriority w:val="99"/>
    <w:semiHidden/>
    <w:unhideWhenUsed/>
    <w:rsid w:val="00C668F2"/>
    <w:rPr>
      <w:color w:val="605E5C"/>
      <w:shd w:val="clear" w:color="auto" w:fill="E1DFDD"/>
    </w:rPr>
  </w:style>
  <w:style w:type="character" w:styleId="FollowedHyperlink">
    <w:name w:val="FollowedHyperlink"/>
    <w:basedOn w:val="DefaultParagraphFont"/>
    <w:uiPriority w:val="99"/>
    <w:semiHidden/>
    <w:unhideWhenUsed/>
    <w:rsid w:val="00CC3D85"/>
    <w:rPr>
      <w:color w:val="954F72" w:themeColor="followedHyperlink"/>
      <w:u w:val="single"/>
    </w:rPr>
  </w:style>
  <w:style w:type="character" w:styleId="Strong">
    <w:name w:val="Strong"/>
    <w:basedOn w:val="DefaultParagraphFont"/>
    <w:uiPriority w:val="22"/>
    <w:qFormat/>
    <w:rsid w:val="00A665F3"/>
    <w:rPr>
      <w:b/>
      <w:bCs/>
    </w:rPr>
  </w:style>
  <w:style w:type="paragraph" w:styleId="NormalWeb">
    <w:name w:val="Normal (Web)"/>
    <w:basedOn w:val="Normal"/>
    <w:uiPriority w:val="99"/>
    <w:semiHidden/>
    <w:unhideWhenUsed/>
    <w:rsid w:val="00A665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677">
      <w:bodyDiv w:val="1"/>
      <w:marLeft w:val="0"/>
      <w:marRight w:val="0"/>
      <w:marTop w:val="0"/>
      <w:marBottom w:val="0"/>
      <w:divBdr>
        <w:top w:val="none" w:sz="0" w:space="0" w:color="auto"/>
        <w:left w:val="none" w:sz="0" w:space="0" w:color="auto"/>
        <w:bottom w:val="none" w:sz="0" w:space="0" w:color="auto"/>
        <w:right w:val="none" w:sz="0" w:space="0" w:color="auto"/>
      </w:divBdr>
    </w:div>
    <w:div w:id="124469342">
      <w:bodyDiv w:val="1"/>
      <w:marLeft w:val="0"/>
      <w:marRight w:val="0"/>
      <w:marTop w:val="0"/>
      <w:marBottom w:val="0"/>
      <w:divBdr>
        <w:top w:val="none" w:sz="0" w:space="0" w:color="auto"/>
        <w:left w:val="none" w:sz="0" w:space="0" w:color="auto"/>
        <w:bottom w:val="none" w:sz="0" w:space="0" w:color="auto"/>
        <w:right w:val="none" w:sz="0" w:space="0" w:color="auto"/>
      </w:divBdr>
    </w:div>
    <w:div w:id="810634753">
      <w:bodyDiv w:val="1"/>
      <w:marLeft w:val="0"/>
      <w:marRight w:val="0"/>
      <w:marTop w:val="0"/>
      <w:marBottom w:val="0"/>
      <w:divBdr>
        <w:top w:val="none" w:sz="0" w:space="0" w:color="auto"/>
        <w:left w:val="none" w:sz="0" w:space="0" w:color="auto"/>
        <w:bottom w:val="none" w:sz="0" w:space="0" w:color="auto"/>
        <w:right w:val="none" w:sz="0" w:space="0" w:color="auto"/>
      </w:divBdr>
    </w:div>
    <w:div w:id="1432431392">
      <w:bodyDiv w:val="1"/>
      <w:marLeft w:val="0"/>
      <w:marRight w:val="0"/>
      <w:marTop w:val="0"/>
      <w:marBottom w:val="0"/>
      <w:divBdr>
        <w:top w:val="none" w:sz="0" w:space="0" w:color="auto"/>
        <w:left w:val="none" w:sz="0" w:space="0" w:color="auto"/>
        <w:bottom w:val="none" w:sz="0" w:space="0" w:color="auto"/>
        <w:right w:val="none" w:sz="0" w:space="0" w:color="auto"/>
      </w:divBdr>
    </w:div>
    <w:div w:id="17072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o.ca/univsec/pdf/policies_procedures/section7/mapp79.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csci-researchofficers@uwo.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BAE7D-71A3-1A42-808C-3804AF89D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1148</Words>
  <Characters>7123</Characters>
  <Application>Microsoft Office Word</Application>
  <DocSecurity>0</DocSecurity>
  <Lines>182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Melihate Limani</dc:creator>
  <cp:keywords/>
  <dc:description/>
  <cp:lastModifiedBy>Melihate Limani</cp:lastModifiedBy>
  <cp:revision>144</cp:revision>
  <cp:lastPrinted>2019-05-17T15:13:00Z</cp:lastPrinted>
  <dcterms:created xsi:type="dcterms:W3CDTF">2019-09-16T21:01:00Z</dcterms:created>
  <dcterms:modified xsi:type="dcterms:W3CDTF">2026-01-15T19:19:00Z</dcterms:modified>
</cp:coreProperties>
</file>